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opLinePunct/>
        <w:autoSpaceDE w:val="0"/>
        <w:autoSpaceDN w:val="0"/>
        <w:spacing w:line="560" w:lineRule="exact"/>
        <w:jc w:val="center"/>
        <w:rPr>
          <w:rFonts w:hint="eastAsia" w:ascii="黑体" w:hAnsi="黑体" w:eastAsia="黑体" w:cs="黑体"/>
          <w:spacing w:val="-17"/>
          <w:w w:val="95"/>
          <w:sz w:val="44"/>
          <w:szCs w:val="44"/>
          <w:lang w:eastAsia="zh-CN"/>
        </w:rPr>
      </w:pPr>
      <w:r>
        <w:rPr>
          <w:rFonts w:hint="eastAsia" w:ascii="黑体" w:hAnsi="黑体" w:eastAsia="黑体" w:cs="黑体"/>
          <w:b/>
          <w:color w:val="000000"/>
          <w:sz w:val="44"/>
          <w:szCs w:val="44"/>
        </w:rPr>
        <w:t>营口市</w:t>
      </w:r>
      <w:r>
        <w:rPr>
          <w:rFonts w:hint="eastAsia" w:ascii="黑体" w:hAnsi="黑体" w:eastAsia="黑体" w:cs="黑体"/>
          <w:spacing w:val="-17"/>
          <w:w w:val="95"/>
          <w:sz w:val="44"/>
          <w:szCs w:val="44"/>
          <w:lang w:eastAsia="zh-CN"/>
        </w:rPr>
        <w:t>工程建设</w:t>
      </w:r>
      <w:r>
        <w:rPr>
          <w:rFonts w:hint="eastAsia" w:ascii="黑体" w:hAnsi="黑体" w:eastAsia="黑体" w:cs="黑体"/>
          <w:spacing w:val="-20"/>
          <w:w w:val="95"/>
          <w:sz w:val="44"/>
          <w:szCs w:val="44"/>
          <w:lang w:eastAsia="zh-CN"/>
        </w:rPr>
        <w:t>项</w:t>
      </w:r>
      <w:r>
        <w:rPr>
          <w:rFonts w:hint="eastAsia" w:ascii="黑体" w:hAnsi="黑体" w:eastAsia="黑体" w:cs="黑体"/>
          <w:spacing w:val="-17"/>
          <w:w w:val="95"/>
          <w:sz w:val="44"/>
          <w:szCs w:val="44"/>
          <w:lang w:eastAsia="zh-CN"/>
        </w:rPr>
        <w:t>目“多测合一”管理</w:t>
      </w:r>
      <w:r>
        <w:rPr>
          <w:rFonts w:hint="eastAsia" w:ascii="黑体" w:hAnsi="黑体" w:eastAsia="黑体" w:cs="黑体"/>
          <w:spacing w:val="-17"/>
          <w:w w:val="95"/>
          <w:sz w:val="44"/>
          <w:szCs w:val="44"/>
          <w:lang w:val="en-US" w:eastAsia="zh-CN"/>
        </w:rPr>
        <w:t>暂行</w:t>
      </w:r>
      <w:r>
        <w:rPr>
          <w:rFonts w:hint="eastAsia" w:ascii="黑体" w:hAnsi="黑体" w:eastAsia="黑体" w:cs="黑体"/>
          <w:spacing w:val="-17"/>
          <w:w w:val="95"/>
          <w:sz w:val="44"/>
          <w:szCs w:val="44"/>
          <w:lang w:eastAsia="zh-CN"/>
        </w:rPr>
        <w:t>办法</w:t>
      </w:r>
    </w:p>
    <w:p>
      <w:pPr>
        <w:topLinePunct/>
        <w:autoSpaceDE w:val="0"/>
        <w:autoSpaceDN w:val="0"/>
        <w:spacing w:line="560" w:lineRule="exact"/>
        <w:jc w:val="center"/>
        <w:rPr>
          <w:rFonts w:hint="eastAsia" w:ascii="黑体" w:hAnsi="黑体" w:eastAsia="黑体" w:cs="黑体"/>
          <w:b/>
          <w:color w:val="000000"/>
          <w:sz w:val="44"/>
          <w:szCs w:val="44"/>
          <w:lang w:val="en-US" w:eastAsia="zh-CN"/>
        </w:rPr>
      </w:pPr>
      <w:r>
        <w:rPr>
          <w:rFonts w:hint="eastAsia" w:ascii="黑体" w:hAnsi="黑体" w:eastAsia="黑体" w:cs="黑体"/>
          <w:spacing w:val="-17"/>
          <w:w w:val="95"/>
          <w:sz w:val="44"/>
          <w:szCs w:val="44"/>
          <w:lang w:eastAsia="zh-CN"/>
        </w:rPr>
        <w:t>（</w:t>
      </w:r>
      <w:r>
        <w:rPr>
          <w:rFonts w:hint="eastAsia" w:ascii="黑体" w:hAnsi="黑体" w:eastAsia="黑体" w:cs="黑体"/>
          <w:spacing w:val="-17"/>
          <w:w w:val="95"/>
          <w:sz w:val="44"/>
          <w:szCs w:val="44"/>
          <w:lang w:val="en-US" w:eastAsia="zh-CN"/>
        </w:rPr>
        <w:t>征求意见稿</w:t>
      </w:r>
      <w:r>
        <w:rPr>
          <w:rFonts w:hint="eastAsia" w:ascii="黑体" w:hAnsi="黑体" w:eastAsia="黑体" w:cs="黑体"/>
          <w:spacing w:val="-17"/>
          <w:w w:val="95"/>
          <w:sz w:val="44"/>
          <w:szCs w:val="44"/>
          <w:lang w:eastAsia="zh-CN"/>
        </w:rPr>
        <w:t>）</w:t>
      </w:r>
    </w:p>
    <w:p>
      <w:pPr>
        <w:topLinePunct/>
        <w:autoSpaceDE w:val="0"/>
        <w:autoSpaceDN w:val="0"/>
        <w:spacing w:line="560" w:lineRule="exact"/>
        <w:jc w:val="center"/>
        <w:rPr>
          <w:rFonts w:hint="eastAsia" w:ascii="黑体" w:hAnsi="黑体" w:eastAsia="黑体" w:cs="黑体"/>
          <w:color w:val="000000"/>
          <w:sz w:val="32"/>
          <w:szCs w:val="32"/>
        </w:rPr>
      </w:pPr>
    </w:p>
    <w:p>
      <w:pPr>
        <w:numPr>
          <w:ilvl w:val="0"/>
          <w:numId w:val="0"/>
        </w:numPr>
        <w:topLinePunct/>
        <w:autoSpaceDE w:val="0"/>
        <w:autoSpaceDN w:val="0"/>
        <w:spacing w:line="560" w:lineRule="exact"/>
        <w:ind w:firstLine="3520" w:firstLineChars="1100"/>
        <w:jc w:val="both"/>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第一章</w:t>
      </w:r>
      <w:r>
        <w:rPr>
          <w:rFonts w:hint="eastAsia" w:ascii="黑体" w:hAnsi="黑体" w:eastAsia="黑体" w:cs="黑体"/>
          <w:color w:val="000000"/>
          <w:sz w:val="32"/>
          <w:szCs w:val="32"/>
        </w:rPr>
        <w:t xml:space="preserve"> 总则</w:t>
      </w:r>
    </w:p>
    <w:p>
      <w:pPr>
        <w:numPr>
          <w:ilvl w:val="0"/>
          <w:numId w:val="0"/>
        </w:numPr>
        <w:topLinePunct/>
        <w:autoSpaceDE w:val="0"/>
        <w:autoSpaceDN w:val="0"/>
        <w:spacing w:line="560" w:lineRule="exact"/>
        <w:jc w:val="both"/>
        <w:rPr>
          <w:rFonts w:hint="eastAsia" w:ascii="黑体" w:hAnsi="黑体" w:eastAsia="黑体" w:cs="黑体"/>
          <w:color w:val="000000"/>
          <w:sz w:val="32"/>
          <w:szCs w:val="32"/>
        </w:rPr>
      </w:pPr>
    </w:p>
    <w:p>
      <w:pPr>
        <w:keepNext w:val="0"/>
        <w:keepLines w:val="0"/>
        <w:pageBreakBefore w:val="0"/>
        <w:widowControl/>
        <w:numPr>
          <w:ilvl w:val="0"/>
          <w:numId w:val="1"/>
        </w:numPr>
        <w:kinsoku/>
        <w:wordWrap/>
        <w:overflowPunct/>
        <w:topLinePunct/>
        <w:autoSpaceDE w:val="0"/>
        <w:autoSpaceDN w:val="0"/>
        <w:bidi w:val="0"/>
        <w:spacing w:line="240" w:lineRule="auto"/>
        <w:ind w:left="-10" w:leftChars="0" w:firstLine="64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为贯彻落实党中央、国务院关于深化“放管服”改革和优化营商环境的部署，继续深入推进我市工程建设项目审批制度改革工作，进一步优化提升全市营商环境，提高工程建设项目审批效率，</w:t>
      </w:r>
      <w:r>
        <w:rPr>
          <w:rFonts w:hint="eastAsia" w:ascii="仿宋_GB2312" w:hAnsi="仿宋_GB2312" w:eastAsia="仿宋_GB2312" w:cs="仿宋_GB2312"/>
          <w:color w:val="000000"/>
          <w:sz w:val="32"/>
          <w:szCs w:val="32"/>
          <w:lang w:val="en-US" w:eastAsia="zh-CN"/>
        </w:rPr>
        <w:t>依据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国务院办公厅关于全面开展工程建设项目审批制度改革的实施意见》(国办发</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2019] 11号)、</w:t>
      </w:r>
      <w:r>
        <w:rPr>
          <w:rFonts w:hint="eastAsia" w:ascii="仿宋_GB2312" w:hAnsi="仿宋_GB2312" w:eastAsia="仿宋_GB2312" w:cs="仿宋_GB2312"/>
          <w:color w:val="000000"/>
          <w:sz w:val="32"/>
          <w:szCs w:val="32"/>
          <w:lang w:eastAsia="zh-CN"/>
        </w:rPr>
        <w:t>《辽宁省人民政府办公厅关于印发辽宁省工程建设项目审批制度改革实施方案的通知》（辽政办发〔2019〕18号）、《</w:t>
      </w:r>
      <w:r>
        <w:rPr>
          <w:rFonts w:hint="eastAsia" w:ascii="仿宋_GB2312" w:hAnsi="仿宋_GB2312" w:eastAsia="仿宋_GB2312" w:cs="仿宋_GB2312"/>
          <w:color w:val="000000"/>
          <w:sz w:val="32"/>
          <w:szCs w:val="32"/>
        </w:rPr>
        <w:t>辽宁省工程建设项目审批制度改革领导小组办公室关于印发工程建设项目审批制度改革“多测合一“工作指导意见的通知》（辽工改小组办发</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1号)文件精神，</w:t>
      </w:r>
      <w:r>
        <w:rPr>
          <w:rFonts w:hint="eastAsia" w:ascii="仿宋_GB2312" w:hAnsi="仿宋_GB2312" w:eastAsia="仿宋_GB2312" w:cs="仿宋_GB2312"/>
          <w:color w:val="000000"/>
          <w:sz w:val="32"/>
          <w:szCs w:val="32"/>
          <w:lang w:val="en-US" w:eastAsia="zh-CN"/>
        </w:rPr>
        <w:t>结合我市实际，</w:t>
      </w:r>
      <w:r>
        <w:rPr>
          <w:rFonts w:hint="eastAsia" w:ascii="仿宋_GB2312" w:hAnsi="仿宋_GB2312" w:eastAsia="仿宋_GB2312" w:cs="仿宋_GB2312"/>
          <w:color w:val="000000"/>
          <w:sz w:val="32"/>
          <w:szCs w:val="32"/>
        </w:rPr>
        <w:t>制定本</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办法。</w:t>
      </w:r>
    </w:p>
    <w:p>
      <w:pPr>
        <w:pStyle w:val="4"/>
        <w:keepNext w:val="0"/>
        <w:keepLines w:val="0"/>
        <w:pageBreakBefore w:val="0"/>
        <w:widowControl/>
        <w:kinsoku/>
        <w:wordWrap/>
        <w:overflowPunct/>
        <w:bidi w:val="0"/>
        <w:adjustRightInd w:val="0"/>
        <w:snapToGrid w:val="0"/>
        <w:spacing w:line="240" w:lineRule="auto"/>
        <w:ind w:left="0" w:right="42" w:firstLine="672" w:firstLineChars="220"/>
        <w:jc w:val="both"/>
        <w:textAlignment w:val="auto"/>
        <w:rPr>
          <w:rFonts w:hint="eastAsia" w:ascii="仿宋_GB2312" w:hAnsi="仿宋_GB2312" w:eastAsia="仿宋_GB2312" w:cs="仿宋_GB2312"/>
          <w:w w:val="95"/>
          <w:lang w:eastAsia="zh-CN"/>
        </w:rPr>
      </w:pPr>
      <w:r>
        <w:rPr>
          <w:rFonts w:hint="eastAsia" w:ascii="仿宋_GB2312" w:hAnsi="仿宋_GB2312" w:eastAsia="仿宋_GB2312" w:cs="仿宋_GB2312"/>
          <w:b/>
          <w:bCs/>
          <w:w w:val="95"/>
          <w:lang w:eastAsia="zh-CN"/>
        </w:rPr>
        <w:t xml:space="preserve">第二条 </w:t>
      </w:r>
      <w:r>
        <w:rPr>
          <w:rFonts w:hint="eastAsia" w:ascii="仿宋_GB2312" w:hAnsi="仿宋_GB2312" w:eastAsia="仿宋_GB2312" w:cs="仿宋_GB2312"/>
          <w:w w:val="95"/>
          <w:lang w:eastAsia="zh-CN"/>
        </w:rPr>
        <w:t>本办法所称“多测合一”，是指工程建设项目审批全流程，</w:t>
      </w:r>
      <w:r>
        <w:rPr>
          <w:rFonts w:hint="eastAsia" w:ascii="仿宋_GB2312" w:hAnsi="仿宋_GB2312" w:eastAsia="仿宋_GB2312" w:cs="仿宋_GB2312"/>
          <w:color w:val="000000" w:themeColor="text1"/>
          <w:sz w:val="32"/>
          <w:szCs w:val="32"/>
          <w14:textFill>
            <w14:solidFill>
              <w14:schemeClr w14:val="tx1"/>
            </w14:solidFill>
          </w14:textFill>
        </w:rPr>
        <w:t>覆盖立项用地规划许可、工程规划许可、施工许可、竣工验收阶段和不动产登记涉及的测绘事项内容相近、出资主体相同的多个测绘事项，分阶段或全流程整合成一个测绘事项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w w:val="95"/>
          <w:lang w:val="en-US" w:eastAsia="zh-CN"/>
        </w:rPr>
        <w:t>建设单位自主选择</w:t>
      </w:r>
      <w:r>
        <w:rPr>
          <w:rFonts w:hint="eastAsia" w:ascii="仿宋_GB2312" w:hAnsi="仿宋_GB2312" w:eastAsia="仿宋_GB2312" w:cs="仿宋_GB2312"/>
          <w:w w:val="95"/>
          <w:lang w:eastAsia="zh-CN"/>
        </w:rPr>
        <w:t>具备相应资质的测绘</w:t>
      </w:r>
      <w:r>
        <w:rPr>
          <w:rFonts w:hint="eastAsia" w:ascii="仿宋_GB2312" w:hAnsi="仿宋_GB2312" w:eastAsia="仿宋_GB2312" w:cs="仿宋_GB2312"/>
          <w:w w:val="95"/>
          <w:lang w:val="en-US" w:eastAsia="zh-CN"/>
        </w:rPr>
        <w:t>企业进行测绘</w:t>
      </w:r>
      <w:r>
        <w:rPr>
          <w:rFonts w:hint="eastAsia" w:ascii="仿宋_GB2312" w:hAnsi="仿宋_GB2312" w:eastAsia="仿宋_GB2312" w:cs="仿宋_GB2312"/>
          <w:w w:val="95"/>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并在行政审批中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在营口</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政务服务网</w:t>
      </w:r>
      <w:r>
        <w:rPr>
          <w:rFonts w:hint="eastAsia" w:ascii="仿宋_GB2312" w:hAnsi="仿宋_GB2312" w:eastAsia="仿宋_GB2312" w:cs="仿宋_GB2312"/>
          <w:color w:val="000000" w:themeColor="text1"/>
          <w:sz w:val="32"/>
          <w:szCs w:val="32"/>
          <w14:textFill>
            <w14:solidFill>
              <w14:schemeClr w14:val="tx1"/>
            </w14:solidFill>
          </w14:textFill>
        </w:rPr>
        <w:t>工程建设项目联合审批平台上传“多测合一”相关材料及成果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w w:val="95"/>
          <w:lang w:eastAsia="zh-CN"/>
        </w:rPr>
        <w:t>供相关主管部门审批使用。</w:t>
      </w:r>
      <w:r>
        <w:rPr>
          <w:rFonts w:hint="eastAsia" w:ascii="仿宋_GB2312" w:hAnsi="仿宋_GB2312" w:eastAsia="仿宋_GB2312" w:cs="仿宋_GB2312"/>
          <w:color w:val="000000" w:themeColor="text1"/>
          <w:sz w:val="32"/>
          <w:szCs w:val="32"/>
          <w14:textFill>
            <w14:solidFill>
              <w14:schemeClr w14:val="tx1"/>
            </w14:solidFill>
          </w14:textFill>
        </w:rPr>
        <w:t>实现各阶段环节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政府行政审批部门间的成果共享</w:t>
      </w:r>
      <w:r>
        <w:rPr>
          <w:rFonts w:hint="eastAsia" w:ascii="仿宋_GB2312" w:hAnsi="仿宋_GB2312" w:eastAsia="仿宋_GB2312" w:cs="仿宋_GB2312"/>
          <w:b/>
          <w:color w:val="000000" w:themeColor="text1"/>
          <w:sz w:val="32"/>
          <w:szCs w:val="32"/>
          <w14:textFill>
            <w14:solidFill>
              <w14:schemeClr w14:val="tx1"/>
            </w14:solidFill>
          </w14:textFill>
        </w:rPr>
        <w:t>。</w:t>
      </w:r>
    </w:p>
    <w:p>
      <w:pPr>
        <w:pStyle w:val="4"/>
        <w:keepNext w:val="0"/>
        <w:keepLines w:val="0"/>
        <w:pageBreakBefore w:val="0"/>
        <w:widowControl/>
        <w:kinsoku/>
        <w:wordWrap/>
        <w:overflowPunct/>
        <w:bidi w:val="0"/>
        <w:adjustRightInd w:val="0"/>
        <w:snapToGrid w:val="0"/>
        <w:spacing w:line="240" w:lineRule="auto"/>
        <w:ind w:left="0" w:right="42" w:firstLine="672" w:firstLineChars="220"/>
        <w:jc w:val="both"/>
        <w:textAlignment w:val="auto"/>
        <w:rPr>
          <w:rFonts w:hint="eastAsia" w:ascii="仿宋_GB2312" w:hAnsi="仿宋_GB2312" w:eastAsia="仿宋_GB2312" w:cs="仿宋_GB2312"/>
          <w:w w:val="95"/>
          <w:lang w:eastAsia="zh-CN"/>
        </w:rPr>
      </w:pPr>
      <w:r>
        <w:rPr>
          <w:rFonts w:hint="eastAsia" w:ascii="仿宋_GB2312" w:hAnsi="仿宋_GB2312" w:eastAsia="仿宋_GB2312" w:cs="仿宋_GB2312"/>
          <w:b/>
          <w:bCs/>
          <w:w w:val="95"/>
          <w:lang w:eastAsia="zh-CN"/>
        </w:rPr>
        <w:t xml:space="preserve">第三条 </w:t>
      </w:r>
      <w:r>
        <w:rPr>
          <w:rFonts w:hint="eastAsia" w:ascii="仿宋_GB2312" w:hAnsi="仿宋_GB2312" w:eastAsia="仿宋_GB2312" w:cs="仿宋_GB2312"/>
          <w:w w:val="95"/>
          <w:lang w:eastAsia="zh-CN"/>
        </w:rPr>
        <w:t>“多测合一”涉及的工程建设项目是指</w:t>
      </w:r>
      <w:r>
        <w:rPr>
          <w:rFonts w:hint="eastAsia" w:ascii="仿宋_GB2312" w:hAnsi="仿宋_GB2312" w:eastAsia="仿宋_GB2312" w:cs="仿宋_GB2312"/>
          <w:w w:val="95"/>
          <w:lang w:val="en-US" w:eastAsia="zh-CN"/>
        </w:rPr>
        <w:t>营口</w:t>
      </w:r>
      <w:r>
        <w:rPr>
          <w:rFonts w:hint="eastAsia" w:ascii="仿宋_GB2312" w:hAnsi="仿宋_GB2312" w:eastAsia="仿宋_GB2312" w:cs="仿宋_GB2312"/>
          <w:w w:val="95"/>
          <w:lang w:eastAsia="zh-CN"/>
        </w:rPr>
        <w:t>市内房屋建筑和城市基础设施等工程建设项目，不包括特殊工程和交通、水利、能源等领域的重大工程。</w:t>
      </w:r>
      <w:r>
        <w:rPr>
          <w:rFonts w:hint="eastAsia" w:ascii="仿宋_GB2312" w:hAnsi="仿宋_GB2312" w:eastAsia="仿宋_GB2312" w:cs="仿宋_GB2312"/>
          <w:color w:val="000000" w:themeColor="text1"/>
          <w:sz w:val="32"/>
          <w:szCs w:val="32"/>
          <w14:textFill>
            <w14:solidFill>
              <w14:schemeClr w14:val="tx1"/>
            </w14:solidFill>
          </w14:textFill>
        </w:rPr>
        <w:t>属国家、省级审批权限的事项除外。</w:t>
      </w:r>
    </w:p>
    <w:p>
      <w:pPr>
        <w:pStyle w:val="4"/>
        <w:keepNext w:val="0"/>
        <w:keepLines w:val="0"/>
        <w:pageBreakBefore w:val="0"/>
        <w:widowControl/>
        <w:kinsoku/>
        <w:wordWrap/>
        <w:overflowPunct/>
        <w:bidi w:val="0"/>
        <w:adjustRightInd w:val="0"/>
        <w:snapToGrid w:val="0"/>
        <w:spacing w:line="240" w:lineRule="auto"/>
        <w:ind w:left="0" w:right="42" w:firstLine="672" w:firstLineChars="220"/>
        <w:jc w:val="both"/>
        <w:textAlignment w:val="auto"/>
        <w:rPr>
          <w:rFonts w:hint="eastAsia" w:ascii="仿宋_GB2312" w:hAnsi="仿宋_GB2312" w:eastAsia="仿宋_GB2312" w:cs="仿宋_GB2312"/>
          <w:w w:val="95"/>
          <w:lang w:eastAsia="zh-CN"/>
        </w:rPr>
      </w:pPr>
      <w:r>
        <w:rPr>
          <w:rFonts w:hint="eastAsia" w:ascii="仿宋_GB2312" w:hAnsi="仿宋_GB2312" w:eastAsia="仿宋_GB2312" w:cs="仿宋_GB2312"/>
          <w:b/>
          <w:bCs/>
          <w:w w:val="95"/>
          <w:lang w:eastAsia="zh-CN"/>
        </w:rPr>
        <w:t xml:space="preserve">第四条 </w:t>
      </w:r>
      <w:r>
        <w:rPr>
          <w:rFonts w:hint="eastAsia" w:ascii="仿宋_GB2312" w:hAnsi="仿宋_GB2312" w:eastAsia="仿宋_GB2312" w:cs="仿宋_GB2312"/>
          <w:w w:val="95"/>
          <w:lang w:eastAsia="zh-CN"/>
        </w:rPr>
        <w:t>通过实行“多测合一”，</w:t>
      </w:r>
      <w:r>
        <w:rPr>
          <w:rFonts w:hint="eastAsia" w:ascii="仿宋_GB2312" w:hAnsi="仿宋_GB2312" w:eastAsia="仿宋_GB2312" w:cs="仿宋_GB2312"/>
          <w:w w:val="95"/>
          <w:highlight w:val="none"/>
          <w:lang w:eastAsia="zh-CN"/>
        </w:rPr>
        <w:t>将有效解决我市测绘服务存在的部门垄断和地方保护</w:t>
      </w:r>
      <w:r>
        <w:rPr>
          <w:rFonts w:hint="eastAsia" w:ascii="仿宋_GB2312" w:hAnsi="仿宋_GB2312" w:eastAsia="仿宋_GB2312" w:cs="仿宋_GB2312"/>
          <w:w w:val="95"/>
          <w:lang w:eastAsia="zh-CN"/>
        </w:rPr>
        <w:t>、技术标准不统一、成果多头反复提交、重复测绘等问题，实现同一标的物只测一次、同一测绘工作执行统一的技术标准、同一测绘成果只提交一次的目标，减轻企业负担，提升审批效率。</w:t>
      </w:r>
    </w:p>
    <w:p>
      <w:pPr>
        <w:pStyle w:val="4"/>
        <w:keepNext w:val="0"/>
        <w:keepLines w:val="0"/>
        <w:pageBreakBefore w:val="0"/>
        <w:widowControl/>
        <w:kinsoku/>
        <w:wordWrap/>
        <w:overflowPunct/>
        <w:bidi w:val="0"/>
        <w:adjustRightInd w:val="0"/>
        <w:snapToGrid w:val="0"/>
        <w:spacing w:line="240" w:lineRule="auto"/>
        <w:ind w:left="0" w:right="42" w:firstLine="672" w:firstLineChars="220"/>
        <w:jc w:val="both"/>
        <w:textAlignment w:val="auto"/>
        <w:rPr>
          <w:rFonts w:hint="eastAsia" w:ascii="仿宋_GB2312" w:hAnsi="仿宋_GB2312" w:eastAsia="仿宋_GB2312" w:cs="仿宋_GB2312"/>
          <w:w w:val="95"/>
          <w:highlight w:val="none"/>
          <w:lang w:eastAsia="zh-CN"/>
        </w:rPr>
      </w:pPr>
      <w:r>
        <w:rPr>
          <w:rFonts w:hint="eastAsia" w:ascii="仿宋_GB2312" w:hAnsi="仿宋_GB2312" w:eastAsia="仿宋_GB2312" w:cs="仿宋_GB2312"/>
          <w:b/>
          <w:bCs/>
          <w:w w:val="95"/>
          <w:highlight w:val="none"/>
          <w:lang w:eastAsia="zh-CN"/>
        </w:rPr>
        <w:t>第五条</w:t>
      </w:r>
      <w:r>
        <w:rPr>
          <w:rFonts w:hint="eastAsia" w:ascii="仿宋_GB2312" w:hAnsi="仿宋_GB2312" w:eastAsia="仿宋_GB2312" w:cs="仿宋_GB2312"/>
          <w:w w:val="95"/>
          <w:highlight w:val="none"/>
          <w:lang w:eastAsia="zh-CN"/>
        </w:rPr>
        <w:t xml:space="preserve"> “多测合一”贯穿工程建设项目审批全流程，覆盖立项用地规划许可、工程规划许可、施工许可和竣工验收四个阶段涉及的测绘事项（含不动产测绘）。</w:t>
      </w:r>
    </w:p>
    <w:p>
      <w:pPr>
        <w:pStyle w:val="4"/>
        <w:keepNext w:val="0"/>
        <w:keepLines w:val="0"/>
        <w:pageBreakBefore w:val="0"/>
        <w:widowControl/>
        <w:kinsoku/>
        <w:wordWrap/>
        <w:overflowPunct/>
        <w:bidi w:val="0"/>
        <w:adjustRightInd w:val="0"/>
        <w:snapToGrid w:val="0"/>
        <w:spacing w:line="240" w:lineRule="auto"/>
        <w:ind w:left="0" w:leftChars="0" w:right="42" w:firstLine="608" w:firstLineChars="200"/>
        <w:jc w:val="both"/>
        <w:textAlignment w:val="auto"/>
        <w:rPr>
          <w:rFonts w:hint="eastAsia" w:ascii="仿宋_GB2312" w:hAnsi="仿宋_GB2312" w:eastAsia="仿宋_GB2312" w:cs="仿宋_GB2312"/>
          <w:w w:val="95"/>
          <w:highlight w:val="none"/>
          <w:lang w:eastAsia="zh-CN"/>
        </w:rPr>
      </w:pPr>
      <w:r>
        <w:rPr>
          <w:rFonts w:hint="eastAsia" w:ascii="仿宋_GB2312" w:hAnsi="仿宋_GB2312" w:eastAsia="仿宋_GB2312" w:cs="仿宋_GB2312"/>
          <w:w w:val="95"/>
          <w:highlight w:val="none"/>
          <w:lang w:eastAsia="zh-CN"/>
        </w:rPr>
        <w:t>立项用地规划许可阶段主要包括选址测绘、勘测定界测量、宗地测量事项；工程规划许可阶段主要包括拨地测量、</w:t>
      </w:r>
      <w:r>
        <w:rPr>
          <w:rFonts w:hint="eastAsia" w:ascii="仿宋_GB2312" w:hAnsi="仿宋_GB2312" w:eastAsia="仿宋_GB2312" w:cs="仿宋_GB2312"/>
          <w:w w:val="95"/>
          <w:highlight w:val="none"/>
          <w:lang w:val="en-US" w:eastAsia="zh-CN"/>
        </w:rPr>
        <w:t>房产预测绘、</w:t>
      </w:r>
      <w:r>
        <w:rPr>
          <w:rFonts w:hint="eastAsia" w:ascii="仿宋_GB2312" w:hAnsi="仿宋_GB2312" w:eastAsia="仿宋_GB2312" w:cs="仿宋_GB2312"/>
          <w:w w:val="95"/>
          <w:highlight w:val="none"/>
          <w:lang w:eastAsia="zh-CN"/>
        </w:rPr>
        <w:t>放（验）线测量、现状测量、</w:t>
      </w:r>
      <w:r>
        <w:rPr>
          <w:rFonts w:hint="eastAsia" w:ascii="仿宋_GB2312" w:hAnsi="仿宋_GB2312" w:eastAsia="仿宋_GB2312" w:cs="仿宋_GB2312"/>
          <w:w w:val="95"/>
          <w:highlight w:val="none"/>
          <w:lang w:val="en-US" w:eastAsia="zh-CN"/>
        </w:rPr>
        <w:t>建筑工程建筑面积和计容面积认定书</w:t>
      </w:r>
      <w:r>
        <w:rPr>
          <w:rFonts w:hint="eastAsia" w:ascii="仿宋_GB2312" w:hAnsi="仿宋_GB2312" w:eastAsia="仿宋_GB2312" w:cs="仿宋_GB2312"/>
          <w:w w:val="95"/>
          <w:highlight w:val="none"/>
          <w:lang w:eastAsia="zh-CN"/>
        </w:rPr>
        <w:t>等事项；施工许可阶段主要包括放（验）线测量事项；竣工验收阶段主要包括规划核实测量、</w:t>
      </w:r>
      <w:r>
        <w:rPr>
          <w:rFonts w:hint="eastAsia" w:ascii="仿宋_GB2312" w:hAnsi="仿宋_GB2312" w:eastAsia="仿宋_GB2312" w:cs="仿宋_GB2312"/>
          <w:w w:val="95"/>
          <w:highlight w:val="none"/>
          <w:lang w:val="en-US" w:eastAsia="zh-CN"/>
        </w:rPr>
        <w:t>建设用地检查核验报告、建设项目竣工面积认定</w:t>
      </w:r>
      <w:r>
        <w:rPr>
          <w:rFonts w:hint="eastAsia" w:ascii="仿宋_GB2312" w:hAnsi="仿宋_GB2312" w:eastAsia="仿宋_GB2312" w:cs="仿宋_GB2312"/>
          <w:w w:val="95"/>
          <w:highlight w:val="none"/>
          <w:lang w:eastAsia="zh-CN"/>
        </w:rPr>
        <w:t>等测绘事项。不动产登记主要包括</w:t>
      </w:r>
      <w:r>
        <w:rPr>
          <w:rFonts w:hint="eastAsia" w:ascii="仿宋_GB2312" w:hAnsi="仿宋_GB2312" w:eastAsia="仿宋_GB2312" w:cs="仿宋_GB2312"/>
          <w:w w:val="95"/>
          <w:highlight w:val="none"/>
          <w:lang w:val="en-US" w:eastAsia="zh-CN"/>
        </w:rPr>
        <w:t>房产实测绘</w:t>
      </w:r>
      <w:r>
        <w:rPr>
          <w:rFonts w:hint="eastAsia" w:ascii="仿宋_GB2312" w:hAnsi="仿宋_GB2312" w:eastAsia="仿宋_GB2312" w:cs="仿宋_GB2312"/>
          <w:w w:val="95"/>
          <w:highlight w:val="none"/>
          <w:lang w:eastAsia="zh-CN"/>
        </w:rPr>
        <w:t>。</w:t>
      </w:r>
    </w:p>
    <w:p>
      <w:pPr>
        <w:pStyle w:val="4"/>
        <w:keepNext w:val="0"/>
        <w:keepLines w:val="0"/>
        <w:pageBreakBefore w:val="0"/>
        <w:widowControl/>
        <w:kinsoku/>
        <w:wordWrap/>
        <w:overflowPunct/>
        <w:bidi w:val="0"/>
        <w:adjustRightInd w:val="0"/>
        <w:snapToGrid w:val="0"/>
        <w:spacing w:line="240" w:lineRule="auto"/>
        <w:ind w:left="0" w:right="42" w:firstLine="668" w:firstLineChars="220"/>
        <w:jc w:val="both"/>
        <w:textAlignment w:val="auto"/>
        <w:rPr>
          <w:rFonts w:hint="eastAsia" w:ascii="仿宋_GB2312" w:hAnsi="仿宋_GB2312" w:eastAsia="仿宋_GB2312" w:cs="仿宋_GB2312"/>
          <w:w w:val="95"/>
          <w:highlight w:val="none"/>
          <w:lang w:eastAsia="zh-CN"/>
        </w:rPr>
      </w:pPr>
      <w:r>
        <w:rPr>
          <w:rFonts w:hint="eastAsia" w:ascii="仿宋_GB2312" w:hAnsi="仿宋_GB2312" w:eastAsia="仿宋_GB2312" w:cs="仿宋_GB2312"/>
          <w:w w:val="95"/>
          <w:highlight w:val="none"/>
          <w:lang w:eastAsia="zh-CN"/>
        </w:rPr>
        <w:t>上述各阶段测绘事项，由建设单位结合自身需求将属于同一审批阶段、多个审批阶段或全流程测绘事项自主整合，开展“多测合一”业务工作。</w:t>
      </w:r>
    </w:p>
    <w:p>
      <w:pPr>
        <w:pStyle w:val="4"/>
        <w:keepNext w:val="0"/>
        <w:keepLines w:val="0"/>
        <w:pageBreakBefore w:val="0"/>
        <w:widowControl/>
        <w:numPr>
          <w:ilvl w:val="0"/>
          <w:numId w:val="2"/>
        </w:numPr>
        <w:kinsoku/>
        <w:wordWrap/>
        <w:overflowPunct/>
        <w:bidi w:val="0"/>
        <w:adjustRightInd w:val="0"/>
        <w:snapToGrid w:val="0"/>
        <w:spacing w:line="240" w:lineRule="auto"/>
        <w:ind w:left="0" w:right="42" w:firstLine="563" w:firstLineChars="17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市自然资源局作为测绘单位监管部门，应按照“双随机、一公开”方式，对测绘单位测绘资质、企业信用等进行监督管理，并通过委托第三方等方式对测绘成果质量开展检查。</w:t>
      </w:r>
    </w:p>
    <w:p>
      <w:pPr>
        <w:pStyle w:val="4"/>
        <w:keepNext w:val="0"/>
        <w:keepLines w:val="0"/>
        <w:pageBreakBefore w:val="0"/>
        <w:widowControl/>
        <w:numPr>
          <w:ilvl w:val="0"/>
          <w:numId w:val="2"/>
        </w:numPr>
        <w:kinsoku/>
        <w:wordWrap/>
        <w:overflowPunct/>
        <w:bidi w:val="0"/>
        <w:adjustRightInd w:val="0"/>
        <w:snapToGrid w:val="0"/>
        <w:spacing w:line="240" w:lineRule="auto"/>
        <w:ind w:left="0" w:right="42" w:firstLine="563" w:firstLineChars="176"/>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“多测合一”使用2000国家大地坐标系和1985国家高程基准。</w:t>
      </w:r>
      <w:r>
        <w:rPr>
          <w:rFonts w:hint="eastAsia" w:ascii="仿宋_GB2312" w:hAnsi="仿宋_GB2312" w:eastAsia="仿宋_GB2312" w:cs="仿宋_GB2312"/>
          <w:color w:val="000000" w:themeColor="text1"/>
          <w:sz w:val="32"/>
          <w:szCs w:val="32"/>
          <w14:textFill>
            <w14:solidFill>
              <w14:schemeClr w14:val="tx1"/>
            </w14:solidFill>
          </w14:textFill>
        </w:rPr>
        <w:t>测绘成果在严格执行《建筑工程面积计算规范》（GB/T50353）、《房产测量规范》（GB/T17986）、《测绘成果质量检查与验收》（GB/T24356）、《城市测量规范》（CJJ/T8-2011）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辽宁省住宅与公建用地容积率计算管理规定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辽住建【2015】94号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等国家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行业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技术</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和规定。以《辽宁省工程建设项目“多测合一”技术指南（试行）》作为“多测合一”测绘报告范本。</w:t>
      </w:r>
    </w:p>
    <w:p>
      <w:pPr>
        <w:keepNext w:val="0"/>
        <w:keepLines w:val="0"/>
        <w:pageBreakBefore w:val="0"/>
        <w:widowControl/>
        <w:kinsoku/>
        <w:wordWrap/>
        <w:overflowPunct/>
        <w:bidi w:val="0"/>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推动实施《不动产单元设定与代码编制规则》国家标准，实现“一码管地”。</w:t>
      </w:r>
    </w:p>
    <w:p>
      <w:pPr>
        <w:keepNext w:val="0"/>
        <w:keepLines w:val="0"/>
        <w:pageBreakBefore w:val="0"/>
        <w:widowControl/>
        <w:numPr>
          <w:ilvl w:val="0"/>
          <w:numId w:val="0"/>
        </w:numPr>
        <w:kinsoku/>
        <w:wordWrap/>
        <w:overflowPunct/>
        <w:topLinePunct/>
        <w:autoSpaceDE w:val="0"/>
        <w:autoSpaceDN w:val="0"/>
        <w:bidi w:val="0"/>
        <w:spacing w:line="240" w:lineRule="auto"/>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autoSpaceDE w:val="0"/>
        <w:autoSpaceDN w:val="0"/>
        <w:bidi w:val="0"/>
        <w:spacing w:line="240" w:lineRule="auto"/>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autoSpaceDE w:val="0"/>
        <w:autoSpaceDN w:val="0"/>
        <w:bidi w:val="0"/>
        <w:spacing w:line="240" w:lineRule="auto"/>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autoSpaceDE w:val="0"/>
        <w:autoSpaceDN w:val="0"/>
        <w:bidi w:val="0"/>
        <w:spacing w:line="240" w:lineRule="auto"/>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3"/>
        </w:numPr>
        <w:kinsoku/>
        <w:wordWrap/>
        <w:overflowPunct/>
        <w:topLinePunct/>
        <w:autoSpaceDE w:val="0"/>
        <w:autoSpaceDN w:val="0"/>
        <w:bidi w:val="0"/>
        <w:spacing w:line="240" w:lineRule="auto"/>
        <w:ind w:firstLine="2560" w:firstLineChars="8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测绘服务机构管理</w:t>
      </w:r>
    </w:p>
    <w:p>
      <w:pPr>
        <w:keepNext w:val="0"/>
        <w:keepLines w:val="0"/>
        <w:pageBreakBefore w:val="0"/>
        <w:widowControl/>
        <w:numPr>
          <w:ilvl w:val="0"/>
          <w:numId w:val="0"/>
        </w:numPr>
        <w:kinsoku/>
        <w:wordWrap/>
        <w:overflowPunct/>
        <w:topLinePunct/>
        <w:autoSpaceDE w:val="0"/>
        <w:autoSpaceDN w:val="0"/>
        <w:bidi w:val="0"/>
        <w:spacing w:line="240" w:lineRule="auto"/>
        <w:jc w:val="both"/>
        <w:textAlignment w:val="auto"/>
        <w:rPr>
          <w:rFonts w:hint="eastAsia" w:ascii="黑体" w:hAnsi="黑体" w:eastAsia="黑体" w:cs="黑体"/>
          <w:color w:val="000000"/>
          <w:sz w:val="32"/>
          <w:szCs w:val="32"/>
        </w:rPr>
      </w:pP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Style w:val="10"/>
          <w:rFonts w:hint="eastAsia" w:ascii="仿宋_GB2312" w:hAnsi="仿宋_GB2312" w:eastAsia="仿宋_GB2312" w:cs="仿宋_GB2312"/>
          <w:i w:val="0"/>
          <w:iCs w:val="0"/>
          <w:color w:val="00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从事“多测合一”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测绘活动</w:t>
      </w:r>
      <w:r>
        <w:rPr>
          <w:rFonts w:hint="eastAsia" w:ascii="仿宋_GB2312" w:hAnsi="仿宋_GB2312" w:eastAsia="仿宋_GB2312" w:cs="仿宋_GB2312"/>
          <w:color w:val="000000" w:themeColor="text1"/>
          <w:sz w:val="32"/>
          <w:szCs w:val="32"/>
          <w14:textFill>
            <w14:solidFill>
              <w14:schemeClr w14:val="tx1"/>
            </w14:solidFill>
          </w14:textFill>
        </w:rPr>
        <w:t>的测绘单位，应当依法取得工程测量、界线与不动产测绘专业的测绘资质。</w:t>
      </w:r>
      <w:r>
        <w:rPr>
          <w:rFonts w:hint="eastAsia" w:ascii="仿宋_GB2312" w:hAnsi="仿宋_GB2312" w:eastAsia="仿宋_GB2312" w:cs="仿宋_GB2312"/>
          <w:color w:val="000000"/>
          <w:sz w:val="32"/>
          <w:szCs w:val="32"/>
          <w:lang w:val="en-US" w:eastAsia="zh-CN"/>
        </w:rPr>
        <w:t>建设单位可以登入</w:t>
      </w:r>
      <w:r>
        <w:rPr>
          <w:rStyle w:val="10"/>
          <w:rFonts w:hint="eastAsia" w:ascii="仿宋_GB2312" w:hAnsi="仿宋_GB2312" w:eastAsia="仿宋_GB2312" w:cs="仿宋_GB2312"/>
          <w:i w:val="0"/>
          <w:iCs w:val="0"/>
          <w:color w:val="000000"/>
          <w:sz w:val="32"/>
          <w:szCs w:val="32"/>
        </w:rPr>
        <w:t>全国测绘资质管理信息系统</w:t>
      </w:r>
      <w:r>
        <w:rPr>
          <w:rStyle w:val="10"/>
          <w:rFonts w:hint="eastAsia" w:ascii="仿宋_GB2312" w:hAnsi="仿宋_GB2312" w:eastAsia="仿宋_GB2312" w:cs="仿宋_GB2312"/>
          <w:i w:val="0"/>
          <w:iCs w:val="0"/>
          <w:color w:val="000000"/>
          <w:sz w:val="32"/>
          <w:szCs w:val="32"/>
          <w:lang w:eastAsia="zh-CN"/>
        </w:rPr>
        <w:t>，</w:t>
      </w:r>
      <w:r>
        <w:rPr>
          <w:rStyle w:val="10"/>
          <w:rFonts w:hint="eastAsia" w:ascii="仿宋_GB2312" w:hAnsi="仿宋_GB2312" w:eastAsia="仿宋_GB2312" w:cs="仿宋_GB2312"/>
          <w:i w:val="0"/>
          <w:iCs w:val="0"/>
          <w:color w:val="000000"/>
          <w:sz w:val="32"/>
          <w:szCs w:val="32"/>
          <w:lang w:val="en-US" w:eastAsia="zh-CN"/>
        </w:rPr>
        <w:t>查询测绘单位的资质及有效期限等企业相关信息。登入测绘地理信息行业信用管理平台，查询测绘资质单位信用信息情况。</w:t>
      </w: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Style w:val="10"/>
          <w:rFonts w:hint="eastAsia" w:ascii="仿宋_GB2312" w:hAnsi="仿宋_GB2312" w:eastAsia="仿宋_GB2312" w:cs="仿宋_GB2312"/>
          <w:i w:val="0"/>
          <w:iCs w:val="0"/>
          <w:color w:val="000000"/>
          <w:sz w:val="32"/>
          <w:szCs w:val="32"/>
          <w:lang w:val="en-US" w:eastAsia="zh-CN"/>
        </w:rPr>
      </w:pPr>
      <w:r>
        <w:rPr>
          <w:rStyle w:val="10"/>
          <w:rFonts w:hint="eastAsia" w:ascii="仿宋_GB2312" w:hAnsi="仿宋_GB2312" w:eastAsia="仿宋_GB2312" w:cs="仿宋_GB2312"/>
          <w:i w:val="0"/>
          <w:iCs w:val="0"/>
          <w:color w:val="000000"/>
          <w:sz w:val="32"/>
          <w:szCs w:val="32"/>
          <w:lang w:val="en-US" w:eastAsia="zh-CN"/>
        </w:rPr>
        <w:t>测绘项目签订合同或委托后应当在辽宁省测绘地理信息市场服务与监管平台进行测绘项目备案，</w:t>
      </w:r>
      <w:r>
        <w:rPr>
          <w:rFonts w:hint="eastAsia" w:ascii="仿宋_GB2312" w:hAnsi="仿宋_GB2312" w:eastAsia="仿宋_GB2312" w:cs="仿宋_GB2312"/>
          <w:color w:val="000000" w:themeColor="text1"/>
          <w:sz w:val="32"/>
          <w:szCs w:val="32"/>
          <w14:textFill>
            <w14:solidFill>
              <w14:schemeClr w14:val="tx1"/>
            </w14:solidFill>
          </w14:textFill>
        </w:rPr>
        <w:t>应依约在规定的时限内及时完成相关测绘工作，向建设单位出具测绘成果报告</w:t>
      </w:r>
      <w:r>
        <w:rPr>
          <w:rStyle w:val="10"/>
          <w:rFonts w:hint="eastAsia" w:ascii="仿宋_GB2312" w:hAnsi="仿宋_GB2312" w:eastAsia="仿宋_GB2312" w:cs="仿宋_GB2312"/>
          <w:i w:val="0"/>
          <w:iCs w:val="0"/>
          <w:color w:val="000000"/>
          <w:sz w:val="32"/>
          <w:szCs w:val="32"/>
          <w:lang w:val="en-US" w:eastAsia="zh-CN"/>
        </w:rPr>
        <w:t>。</w:t>
      </w: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Style w:val="10"/>
          <w:rFonts w:hint="eastAsia" w:ascii="仿宋_GB2312" w:hAnsi="仿宋_GB2312" w:eastAsia="仿宋_GB2312" w:cs="仿宋_GB2312"/>
          <w:i w:val="0"/>
          <w:iCs w:val="0"/>
          <w:color w:val="000000"/>
          <w:sz w:val="32"/>
          <w:szCs w:val="32"/>
          <w:lang w:val="en-US" w:eastAsia="zh-CN"/>
        </w:rPr>
      </w:pPr>
      <w:r>
        <w:rPr>
          <w:rStyle w:val="10"/>
          <w:rFonts w:hint="eastAsia" w:ascii="仿宋_GB2312" w:hAnsi="仿宋_GB2312" w:eastAsia="仿宋_GB2312" w:cs="仿宋_GB2312"/>
          <w:i w:val="0"/>
          <w:iCs w:val="0"/>
          <w:color w:val="000000"/>
          <w:sz w:val="32"/>
          <w:szCs w:val="32"/>
          <w:lang w:val="en-US" w:eastAsia="zh-CN"/>
        </w:rPr>
        <w:t>测绘中介机构完成测绘工程3日内将测绘成果提交我局，我局将通过“双随机、</w:t>
      </w:r>
      <w:bookmarkStart w:id="0" w:name="_GoBack"/>
      <w:bookmarkEnd w:id="0"/>
      <w:r>
        <w:rPr>
          <w:rStyle w:val="10"/>
          <w:rFonts w:hint="eastAsia" w:ascii="仿宋_GB2312" w:hAnsi="仿宋_GB2312" w:eastAsia="仿宋_GB2312" w:cs="仿宋_GB2312"/>
          <w:i w:val="0"/>
          <w:iCs w:val="0"/>
          <w:color w:val="000000"/>
          <w:sz w:val="32"/>
          <w:szCs w:val="32"/>
          <w:lang w:val="en-US" w:eastAsia="zh-CN"/>
        </w:rPr>
        <w:t>一公开”方式对测绘成果进行质量监督检查，检查结果面向社会公布。</w:t>
      </w: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Style w:val="10"/>
          <w:rFonts w:hint="eastAsia" w:ascii="仿宋_GB2312" w:hAnsi="仿宋_GB2312" w:eastAsia="仿宋_GB2312" w:cs="仿宋_GB2312"/>
          <w:i w:val="0"/>
          <w:iCs w:val="0"/>
          <w:color w:val="000000"/>
          <w:sz w:val="32"/>
          <w:szCs w:val="32"/>
          <w:lang w:val="en-US" w:eastAsia="zh-CN"/>
        </w:rPr>
      </w:pPr>
      <w:r>
        <w:rPr>
          <w:rStyle w:val="10"/>
          <w:rFonts w:hint="eastAsia" w:ascii="仿宋_GB2312" w:hAnsi="仿宋_GB2312" w:eastAsia="仿宋_GB2312" w:cs="仿宋_GB2312"/>
          <w:i w:val="0"/>
          <w:iCs w:val="0"/>
          <w:color w:val="000000"/>
          <w:sz w:val="32"/>
          <w:szCs w:val="32"/>
          <w:lang w:val="en-US" w:eastAsia="zh-CN"/>
        </w:rPr>
        <w:t xml:space="preserve"> 从事“多测合一”业务的测绘单位，应当诚实守信，自觉遵守国家和地方的有关规定。营口市“多测合一”测绘单位实行测绘成果质量负责人终身负责制。测绘单位对出具的测绘成果的真实性、准确性负责应严格进行测绘成果的核查，因测绘成果出现质量问题的，由测绘服务机构及相关责任人承担相应经济和法律责任。</w:t>
      </w: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Style w:val="10"/>
          <w:rFonts w:hint="eastAsia" w:ascii="仿宋_GB2312" w:hAnsi="仿宋_GB2312" w:eastAsia="仿宋_GB2312" w:cs="仿宋_GB2312"/>
          <w:i w:val="0"/>
          <w:iCs w:val="0"/>
          <w:color w:val="000000"/>
          <w:sz w:val="32"/>
          <w:szCs w:val="32"/>
          <w:lang w:val="en-US" w:eastAsia="zh-CN"/>
        </w:rPr>
      </w:pPr>
      <w:r>
        <w:rPr>
          <w:rStyle w:val="10"/>
          <w:rFonts w:hint="eastAsia" w:ascii="仿宋_GB2312" w:hAnsi="仿宋_GB2312" w:eastAsia="仿宋_GB2312" w:cs="仿宋_GB2312"/>
          <w:i w:val="0"/>
          <w:iCs w:val="0"/>
          <w:color w:val="000000"/>
          <w:sz w:val="32"/>
          <w:szCs w:val="32"/>
          <w:lang w:val="en-US" w:eastAsia="zh-CN"/>
        </w:rPr>
        <w:t>测绘单位对其完成的“多测合一”成果应实施“二级检查、一级验收”并留存检查记录。检查记录应清晰注明检查阶段（过程检查、最终检查）并由相关责任人签字。过程检查、最终检查不得由同一人承担。</w:t>
      </w:r>
    </w:p>
    <w:p>
      <w:pPr>
        <w:keepNext w:val="0"/>
        <w:keepLines w:val="0"/>
        <w:pageBreakBefore w:val="0"/>
        <w:widowControl/>
        <w:numPr>
          <w:ilvl w:val="0"/>
          <w:numId w:val="2"/>
        </w:numPr>
        <w:kinsoku/>
        <w:wordWrap/>
        <w:overflowPunct/>
        <w:bidi w:val="0"/>
        <w:spacing w:line="240" w:lineRule="auto"/>
        <w:ind w:left="0" w:leftChars="0" w:firstLine="563" w:firstLineChars="176"/>
        <w:jc w:val="left"/>
        <w:textAlignment w:val="auto"/>
        <w:rPr>
          <w:rFonts w:hint="eastAsia" w:ascii="仿宋_GB2312" w:hAnsi="仿宋_GB2312" w:eastAsia="仿宋_GB2312" w:cs="仿宋_GB2312"/>
          <w:color w:val="auto"/>
          <w:lang w:val="en-US" w:eastAsia="zh-CN"/>
        </w:rPr>
      </w:pPr>
      <w:r>
        <w:rPr>
          <w:rStyle w:val="10"/>
          <w:rFonts w:hint="eastAsia" w:ascii="仿宋_GB2312" w:hAnsi="仿宋_GB2312" w:eastAsia="仿宋_GB2312" w:cs="仿宋_GB2312"/>
          <w:i w:val="0"/>
          <w:iCs w:val="0"/>
          <w:color w:val="000000"/>
          <w:sz w:val="32"/>
          <w:szCs w:val="32"/>
          <w:lang w:val="en-US" w:eastAsia="zh-CN"/>
        </w:rPr>
        <w:t>鼓励实行注册测绘师签字盖章和终身追责制度，具体规程及注册测绘师执业要求按国家、省行业主管部门相关规定执行</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numPr>
          <w:ilvl w:val="0"/>
          <w:numId w:val="0"/>
        </w:numPr>
        <w:kinsoku/>
        <w:wordWrap/>
        <w:overflowPunct/>
        <w:bidi w:val="0"/>
        <w:spacing w:line="240" w:lineRule="auto"/>
        <w:ind w:leftChars="176"/>
        <w:jc w:val="left"/>
        <w:textAlignment w:val="auto"/>
        <w:rPr>
          <w:rStyle w:val="10"/>
          <w:rFonts w:hint="default" w:ascii="仿宋_GB2312" w:eastAsia="仿宋_GB2312"/>
          <w:i w:val="0"/>
          <w:iCs w:val="0"/>
          <w:color w:val="000000"/>
          <w:sz w:val="32"/>
          <w:szCs w:val="32"/>
          <w:lang w:val="en-US" w:eastAsia="zh-CN"/>
        </w:rPr>
      </w:pPr>
    </w:p>
    <w:p>
      <w:pPr>
        <w:keepNext w:val="0"/>
        <w:keepLines w:val="0"/>
        <w:pageBreakBefore w:val="0"/>
        <w:widowControl/>
        <w:numPr>
          <w:ilvl w:val="0"/>
          <w:numId w:val="0"/>
        </w:numPr>
        <w:kinsoku/>
        <w:wordWrap/>
        <w:overflowPunct/>
        <w:bidi w:val="0"/>
        <w:spacing w:line="240" w:lineRule="auto"/>
        <w:jc w:val="left"/>
        <w:textAlignment w:val="auto"/>
        <w:rPr>
          <w:rStyle w:val="10"/>
          <w:rFonts w:hint="default" w:ascii="仿宋_GB2312" w:eastAsia="仿宋_GB2312"/>
          <w:i w:val="0"/>
          <w:iCs w:val="0"/>
          <w:color w:val="000000"/>
          <w:sz w:val="32"/>
          <w:szCs w:val="32"/>
          <w:lang w:val="en-US" w:eastAsia="zh-CN"/>
        </w:rPr>
      </w:pPr>
    </w:p>
    <w:p>
      <w:pPr>
        <w:keepNext w:val="0"/>
        <w:keepLines w:val="0"/>
        <w:pageBreakBefore w:val="0"/>
        <w:widowControl/>
        <w:numPr>
          <w:ilvl w:val="0"/>
          <w:numId w:val="0"/>
        </w:numPr>
        <w:kinsoku/>
        <w:wordWrap/>
        <w:overflowPunct/>
        <w:bidi w:val="0"/>
        <w:spacing w:line="240" w:lineRule="auto"/>
        <w:jc w:val="left"/>
        <w:textAlignment w:val="auto"/>
        <w:rPr>
          <w:rStyle w:val="10"/>
          <w:rFonts w:hint="default" w:ascii="仿宋_GB2312" w:eastAsia="仿宋_GB2312"/>
          <w:i w:val="0"/>
          <w:iCs w:val="0"/>
          <w:color w:val="000000"/>
          <w:sz w:val="32"/>
          <w:szCs w:val="32"/>
          <w:lang w:val="en-US" w:eastAsia="zh-CN"/>
        </w:rPr>
      </w:pPr>
    </w:p>
    <w:p>
      <w:pPr>
        <w:keepNext w:val="0"/>
        <w:keepLines w:val="0"/>
        <w:pageBreakBefore w:val="0"/>
        <w:widowControl/>
        <w:numPr>
          <w:ilvl w:val="0"/>
          <w:numId w:val="0"/>
        </w:numPr>
        <w:kinsoku/>
        <w:wordWrap/>
        <w:overflowPunct/>
        <w:bidi w:val="0"/>
        <w:spacing w:line="240" w:lineRule="auto"/>
        <w:jc w:val="left"/>
        <w:textAlignment w:val="auto"/>
        <w:rPr>
          <w:rStyle w:val="10"/>
          <w:rFonts w:hint="default" w:ascii="仿宋_GB2312" w:eastAsia="仿宋_GB2312"/>
          <w:i w:val="0"/>
          <w:iCs w:val="0"/>
          <w:color w:val="000000"/>
          <w:sz w:val="32"/>
          <w:szCs w:val="32"/>
          <w:lang w:val="en-US" w:eastAsia="zh-CN"/>
        </w:rPr>
      </w:pPr>
    </w:p>
    <w:p>
      <w:pPr>
        <w:keepNext w:val="0"/>
        <w:keepLines w:val="0"/>
        <w:pageBreakBefore w:val="0"/>
        <w:widowControl/>
        <w:numPr>
          <w:ilvl w:val="0"/>
          <w:numId w:val="0"/>
        </w:numPr>
        <w:kinsoku/>
        <w:wordWrap/>
        <w:overflowPunct/>
        <w:bidi w:val="0"/>
        <w:spacing w:line="240" w:lineRule="auto"/>
        <w:jc w:val="left"/>
        <w:textAlignment w:val="auto"/>
        <w:rPr>
          <w:rStyle w:val="10"/>
          <w:rFonts w:hint="default" w:ascii="仿宋_GB2312" w:eastAsia="仿宋_GB2312"/>
          <w:i w:val="0"/>
          <w:iCs w:val="0"/>
          <w:color w:val="000000"/>
          <w:sz w:val="32"/>
          <w:szCs w:val="32"/>
          <w:lang w:val="en-US" w:eastAsia="zh-CN"/>
        </w:rPr>
      </w:pPr>
    </w:p>
    <w:p>
      <w:pPr>
        <w:keepNext w:val="0"/>
        <w:keepLines w:val="0"/>
        <w:pageBreakBefore w:val="0"/>
        <w:widowControl/>
        <w:numPr>
          <w:ilvl w:val="0"/>
          <w:numId w:val="3"/>
        </w:numPr>
        <w:kinsoku/>
        <w:wordWrap/>
        <w:overflowPunct/>
        <w:topLinePunct/>
        <w:autoSpaceDE w:val="0"/>
        <w:autoSpaceDN w:val="0"/>
        <w:bidi w:val="0"/>
        <w:spacing w:line="240" w:lineRule="auto"/>
        <w:ind w:firstLine="2560" w:firstLineChars="8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项目委托和承接</w:t>
      </w: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ind w:firstLine="640" w:firstLineChars="200"/>
        <w:jc w:val="both"/>
        <w:textAlignment w:val="auto"/>
        <w:rPr>
          <w:rFonts w:hint="eastAsia" w:ascii="仿宋" w:hAnsi="仿宋" w:eastAsia="仿宋"/>
          <w:color w:val="000000"/>
          <w:sz w:val="32"/>
          <w:szCs w:val="32"/>
        </w:rPr>
      </w:pP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w:t>
      </w: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建设单位应当按“多测合一”项目规模、技术要求等条件，依据测绘服务机构的测绘资质等级、业务范围、技术能力和信用情况等委托相应测绘服务机构。</w:t>
      </w: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w:t>
      </w:r>
      <w:r>
        <w:rPr>
          <w:rFonts w:hint="eastAsia" w:ascii="仿宋_GB2312" w:hAnsi="仿宋_GB2312" w:eastAsia="仿宋_GB2312" w:cs="仿宋_GB2312"/>
          <w:b/>
          <w:bCs/>
          <w:color w:val="000000"/>
          <w:sz w:val="32"/>
          <w:szCs w:val="32"/>
          <w:lang w:val="en-US" w:eastAsia="zh-CN"/>
        </w:rPr>
        <w:t>五</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测绘服务机构应该严格按照测绘资质管理相关规定和实际投入的技术人员、仪器设备情况承接“多测合一”项目，应在测绘资质等级许可的范围内从事测绘活动。</w:t>
      </w: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rPr>
        <w:t>第十</w:t>
      </w:r>
      <w:r>
        <w:rPr>
          <w:rFonts w:hint="eastAsia" w:ascii="仿宋_GB2312" w:hAnsi="仿宋_GB2312" w:eastAsia="仿宋_GB2312" w:cs="仿宋_GB2312"/>
          <w:b/>
          <w:bCs/>
          <w:color w:val="000000"/>
          <w:sz w:val="32"/>
          <w:szCs w:val="32"/>
          <w:lang w:val="en-US" w:eastAsia="zh-CN"/>
        </w:rPr>
        <w:t>六</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“多测合一”项目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应</w:t>
      </w:r>
      <w:r>
        <w:rPr>
          <w:rFonts w:hint="eastAsia" w:ascii="仿宋_GB2312" w:hAnsi="仿宋_GB2312" w:eastAsia="仿宋_GB2312" w:cs="仿宋_GB2312"/>
          <w:color w:val="000000"/>
          <w:sz w:val="32"/>
          <w:szCs w:val="32"/>
        </w:rPr>
        <w:t>统一使用市自然资源主管部门颁布的测绘服务合同范本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载明的测绘任务和时间要求开展测绘作业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val="en-US" w:eastAsia="zh-CN"/>
        </w:rPr>
        <w:t>并将合同副本报送市自然资源局主管部门留存。</w:t>
      </w:r>
    </w:p>
    <w:p>
      <w:pPr>
        <w:pStyle w:val="4"/>
        <w:keepNext w:val="0"/>
        <w:keepLines w:val="0"/>
        <w:pageBreakBefore w:val="0"/>
        <w:widowControl/>
        <w:kinsoku/>
        <w:wordWrap/>
        <w:overflowPunct/>
        <w:bidi w:val="0"/>
        <w:adjustRightInd w:val="0"/>
        <w:snapToGrid w:val="0"/>
        <w:spacing w:line="240" w:lineRule="auto"/>
        <w:ind w:left="0" w:right="42" w:firstLine="716" w:firstLineChars="22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pacing w:val="2"/>
          <w:lang w:val="en-US" w:eastAsia="zh-CN"/>
        </w:rPr>
        <w:t xml:space="preserve">第十七条 </w:t>
      </w:r>
      <w:r>
        <w:rPr>
          <w:rFonts w:hint="eastAsia" w:ascii="仿宋_GB2312" w:hAnsi="仿宋_GB2312" w:eastAsia="仿宋_GB2312" w:cs="仿宋_GB2312"/>
          <w:color w:val="000000" w:themeColor="text1"/>
          <w:sz w:val="32"/>
          <w:szCs w:val="32"/>
          <w14:textFill>
            <w14:solidFill>
              <w14:schemeClr w14:val="tx1"/>
            </w14:solidFill>
          </w14:textFill>
        </w:rPr>
        <w:t>测绘单位应按照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本管理办法第七条要求</w:t>
      </w:r>
      <w:r>
        <w:rPr>
          <w:rFonts w:hint="eastAsia" w:ascii="仿宋_GB2312" w:hAnsi="仿宋_GB2312" w:eastAsia="仿宋_GB2312" w:cs="仿宋_GB2312"/>
          <w:color w:val="000000" w:themeColor="text1"/>
          <w:sz w:val="32"/>
          <w:szCs w:val="32"/>
          <w14:textFill>
            <w14:solidFill>
              <w14:schemeClr w14:val="tx1"/>
            </w14:solidFill>
          </w14:textFill>
        </w:rPr>
        <w:t>技术标准和成果质量要求出具相应测绘事项的测绘成果，报送建设单位进行验收，经验收合格的成果才能用于后续的业务办理。</w:t>
      </w:r>
    </w:p>
    <w:p>
      <w:pPr>
        <w:pStyle w:val="4"/>
        <w:keepNext w:val="0"/>
        <w:keepLines w:val="0"/>
        <w:pageBreakBefore w:val="0"/>
        <w:widowControl/>
        <w:kinsoku/>
        <w:wordWrap/>
        <w:overflowPunct/>
        <w:bidi w:val="0"/>
        <w:adjustRightInd w:val="0"/>
        <w:snapToGrid w:val="0"/>
        <w:spacing w:line="240" w:lineRule="auto"/>
        <w:ind w:left="0" w:right="42" w:firstLine="704" w:firstLineChars="22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涉密测绘成果应落实国家有关保密法律法规的规定，采取必要保密措施，按照相关审批部门要求报送，确保成果安全。</w:t>
      </w:r>
    </w:p>
    <w:p>
      <w:pPr>
        <w:pStyle w:val="4"/>
        <w:keepNext w:val="0"/>
        <w:keepLines w:val="0"/>
        <w:pageBreakBefore w:val="0"/>
        <w:widowControl/>
        <w:kinsoku/>
        <w:wordWrap/>
        <w:overflowPunct/>
        <w:bidi w:val="0"/>
        <w:adjustRightInd w:val="0"/>
        <w:snapToGrid w:val="0"/>
        <w:spacing w:line="240" w:lineRule="auto"/>
        <w:ind w:left="0" w:right="42" w:firstLine="707" w:firstLineChars="22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测绘项目完成后，测绘单位应及时汇交测绘成果资料，属于基础测绘项目的，应当向县级以上测绘主管部门汇交测绘成果副本；属于非基础测绘项目的，应登录全国测绘成果目录汇交系统，汇交测绘成果目录。</w:t>
      </w:r>
    </w:p>
    <w:p>
      <w:pPr>
        <w:pStyle w:val="4"/>
        <w:keepNext w:val="0"/>
        <w:keepLines w:val="0"/>
        <w:pageBreakBefore w:val="0"/>
        <w:widowControl/>
        <w:kinsoku/>
        <w:wordWrap/>
        <w:overflowPunct/>
        <w:topLinePunct w:val="0"/>
        <w:autoSpaceDE/>
        <w:autoSpaceDN/>
        <w:bidi w:val="0"/>
        <w:adjustRightInd w:val="0"/>
        <w:snapToGrid w:val="0"/>
        <w:spacing w:line="240" w:lineRule="auto"/>
        <w:ind w:left="0" w:right="0" w:firstLine="651"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pacing w:val="2"/>
          <w:lang w:eastAsia="zh-CN"/>
        </w:rPr>
        <w:t>第十</w:t>
      </w:r>
      <w:r>
        <w:rPr>
          <w:rFonts w:hint="eastAsia" w:ascii="仿宋_GB2312" w:hAnsi="仿宋_GB2312" w:eastAsia="仿宋_GB2312" w:cs="仿宋_GB2312"/>
          <w:b/>
          <w:bCs/>
          <w:spacing w:val="2"/>
          <w:lang w:val="en-US" w:eastAsia="zh-CN"/>
        </w:rPr>
        <w:t>九</w:t>
      </w:r>
      <w:r>
        <w:rPr>
          <w:rFonts w:hint="eastAsia" w:ascii="仿宋_GB2312" w:hAnsi="仿宋_GB2312" w:eastAsia="仿宋_GB2312" w:cs="仿宋_GB2312"/>
          <w:b/>
          <w:bCs/>
          <w:lang w:eastAsia="zh-CN"/>
        </w:rPr>
        <w:t xml:space="preserve">条 </w:t>
      </w:r>
      <w:r>
        <w:rPr>
          <w:rFonts w:hint="eastAsia" w:ascii="仿宋_GB2312" w:hAnsi="仿宋_GB2312" w:eastAsia="仿宋_GB2312" w:cs="仿宋_GB2312"/>
          <w:sz w:val="32"/>
          <w:szCs w:val="32"/>
          <w:lang w:eastAsia="zh-CN"/>
        </w:rPr>
        <w:t>测绘</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pacing w:val="2"/>
          <w:sz w:val="32"/>
          <w:szCs w:val="32"/>
          <w:lang w:eastAsia="zh-CN"/>
        </w:rPr>
        <w:t>当</w:t>
      </w:r>
      <w:r>
        <w:rPr>
          <w:rFonts w:hint="eastAsia" w:ascii="仿宋_GB2312" w:hAnsi="仿宋_GB2312" w:eastAsia="仿宋_GB2312" w:cs="仿宋_GB2312"/>
          <w:sz w:val="32"/>
          <w:szCs w:val="32"/>
          <w:lang w:eastAsia="zh-CN"/>
        </w:rPr>
        <w:t>按照项</w:t>
      </w:r>
      <w:r>
        <w:rPr>
          <w:rFonts w:hint="eastAsia" w:ascii="仿宋_GB2312" w:hAnsi="仿宋_GB2312" w:eastAsia="仿宋_GB2312" w:cs="仿宋_GB2312"/>
          <w:spacing w:val="2"/>
          <w:sz w:val="32"/>
          <w:szCs w:val="32"/>
          <w:lang w:eastAsia="zh-CN"/>
        </w:rPr>
        <w:t>目</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pacing w:val="1"/>
          <w:w w:val="95"/>
          <w:sz w:val="32"/>
          <w:szCs w:val="32"/>
          <w:lang w:eastAsia="zh-CN"/>
        </w:rPr>
        <w:t>序</w:t>
      </w:r>
      <w:r>
        <w:rPr>
          <w:rFonts w:hint="eastAsia" w:ascii="仿宋_GB2312" w:hAnsi="仿宋_GB2312" w:eastAsia="仿宋_GB2312" w:cs="仿宋_GB2312"/>
          <w:w w:val="95"/>
          <w:sz w:val="32"/>
          <w:szCs w:val="32"/>
          <w:lang w:eastAsia="zh-CN"/>
        </w:rPr>
        <w:t>和工</w:t>
      </w:r>
      <w:r>
        <w:rPr>
          <w:rFonts w:hint="eastAsia" w:ascii="仿宋_GB2312" w:hAnsi="仿宋_GB2312" w:eastAsia="仿宋_GB2312" w:cs="仿宋_GB2312"/>
          <w:spacing w:val="1"/>
          <w:w w:val="95"/>
          <w:sz w:val="32"/>
          <w:szCs w:val="32"/>
          <w:lang w:eastAsia="zh-CN"/>
        </w:rPr>
        <w:t>作</w:t>
      </w:r>
      <w:r>
        <w:rPr>
          <w:rFonts w:hint="eastAsia" w:ascii="仿宋_GB2312" w:hAnsi="仿宋_GB2312" w:eastAsia="仿宋_GB2312" w:cs="仿宋_GB2312"/>
          <w:w w:val="95"/>
          <w:sz w:val="32"/>
          <w:szCs w:val="32"/>
          <w:lang w:eastAsia="zh-CN"/>
        </w:rPr>
        <w:t>量</w:t>
      </w:r>
      <w:r>
        <w:rPr>
          <w:rFonts w:hint="eastAsia" w:ascii="仿宋_GB2312" w:hAnsi="仿宋_GB2312" w:eastAsia="仿宋_GB2312" w:cs="仿宋_GB2312"/>
          <w:spacing w:val="-8"/>
          <w:w w:val="95"/>
          <w:sz w:val="32"/>
          <w:szCs w:val="32"/>
          <w:lang w:eastAsia="zh-CN"/>
        </w:rPr>
        <w:t>，</w:t>
      </w:r>
      <w:r>
        <w:rPr>
          <w:rFonts w:hint="eastAsia" w:ascii="仿宋_GB2312" w:hAnsi="仿宋_GB2312" w:eastAsia="仿宋_GB2312" w:cs="仿宋_GB2312"/>
          <w:w w:val="95"/>
          <w:sz w:val="32"/>
          <w:szCs w:val="32"/>
          <w:lang w:eastAsia="zh-CN"/>
        </w:rPr>
        <w:t>分</w:t>
      </w:r>
      <w:r>
        <w:rPr>
          <w:rFonts w:hint="eastAsia" w:ascii="仿宋_GB2312" w:hAnsi="仿宋_GB2312" w:eastAsia="仿宋_GB2312" w:cs="仿宋_GB2312"/>
          <w:spacing w:val="1"/>
          <w:w w:val="95"/>
          <w:sz w:val="32"/>
          <w:szCs w:val="32"/>
          <w:lang w:eastAsia="zh-CN"/>
        </w:rPr>
        <w:t>类</w:t>
      </w:r>
      <w:r>
        <w:rPr>
          <w:rFonts w:hint="eastAsia" w:ascii="仿宋_GB2312" w:hAnsi="仿宋_GB2312" w:eastAsia="仿宋_GB2312" w:cs="仿宋_GB2312"/>
          <w:w w:val="95"/>
          <w:sz w:val="32"/>
          <w:szCs w:val="32"/>
          <w:lang w:eastAsia="zh-CN"/>
        </w:rPr>
        <w:t>计算</w:t>
      </w:r>
      <w:r>
        <w:rPr>
          <w:rFonts w:hint="eastAsia" w:ascii="仿宋_GB2312" w:hAnsi="仿宋_GB2312" w:eastAsia="仿宋_GB2312" w:cs="仿宋_GB2312"/>
          <w:spacing w:val="1"/>
          <w:w w:val="95"/>
          <w:sz w:val="32"/>
          <w:szCs w:val="32"/>
          <w:lang w:eastAsia="zh-CN"/>
        </w:rPr>
        <w:t>和</w:t>
      </w:r>
      <w:r>
        <w:rPr>
          <w:rFonts w:hint="eastAsia" w:ascii="仿宋_GB2312" w:hAnsi="仿宋_GB2312" w:eastAsia="仿宋_GB2312" w:cs="仿宋_GB2312"/>
          <w:w w:val="95"/>
          <w:sz w:val="32"/>
          <w:szCs w:val="32"/>
          <w:lang w:eastAsia="zh-CN"/>
        </w:rPr>
        <w:t>汇总测</w:t>
      </w:r>
      <w:r>
        <w:rPr>
          <w:rFonts w:hint="eastAsia" w:ascii="仿宋_GB2312" w:hAnsi="仿宋_GB2312" w:eastAsia="仿宋_GB2312" w:cs="仿宋_GB2312"/>
          <w:spacing w:val="1"/>
          <w:w w:val="95"/>
          <w:sz w:val="32"/>
          <w:szCs w:val="32"/>
          <w:lang w:eastAsia="zh-CN"/>
        </w:rPr>
        <w:t>绘</w:t>
      </w:r>
      <w:r>
        <w:rPr>
          <w:rFonts w:hint="eastAsia" w:ascii="仿宋_GB2312" w:hAnsi="仿宋_GB2312" w:eastAsia="仿宋_GB2312" w:cs="仿宋_GB2312"/>
          <w:w w:val="95"/>
          <w:sz w:val="32"/>
          <w:szCs w:val="32"/>
          <w:lang w:eastAsia="zh-CN"/>
        </w:rPr>
        <w:t>服务</w:t>
      </w:r>
      <w:r>
        <w:rPr>
          <w:rFonts w:hint="eastAsia" w:ascii="仿宋_GB2312" w:hAnsi="仿宋_GB2312" w:eastAsia="仿宋_GB2312" w:cs="仿宋_GB2312"/>
          <w:spacing w:val="1"/>
          <w:w w:val="95"/>
          <w:sz w:val="32"/>
          <w:szCs w:val="32"/>
          <w:lang w:eastAsia="zh-CN"/>
        </w:rPr>
        <w:t>费</w:t>
      </w:r>
      <w:r>
        <w:rPr>
          <w:rFonts w:hint="eastAsia" w:ascii="仿宋_GB2312" w:hAnsi="仿宋_GB2312" w:eastAsia="仿宋_GB2312" w:cs="仿宋_GB2312"/>
          <w:w w:val="95"/>
          <w:sz w:val="32"/>
          <w:szCs w:val="32"/>
          <w:lang w:eastAsia="zh-CN"/>
        </w:rPr>
        <w:t>用</w:t>
      </w:r>
      <w:r>
        <w:rPr>
          <w:rFonts w:hint="eastAsia" w:ascii="仿宋_GB2312" w:hAnsi="仿宋_GB2312" w:eastAsia="仿宋_GB2312" w:cs="仿宋_GB2312"/>
          <w:spacing w:val="-8"/>
          <w:w w:val="95"/>
          <w:sz w:val="32"/>
          <w:szCs w:val="32"/>
          <w:lang w:eastAsia="zh-CN"/>
        </w:rPr>
        <w:t>，</w:t>
      </w:r>
      <w:r>
        <w:rPr>
          <w:rFonts w:hint="eastAsia" w:ascii="仿宋_GB2312" w:hAnsi="仿宋_GB2312" w:eastAsia="仿宋_GB2312" w:cs="仿宋_GB2312"/>
          <w:w w:val="95"/>
          <w:sz w:val="32"/>
          <w:szCs w:val="32"/>
          <w:lang w:eastAsia="zh-CN"/>
        </w:rPr>
        <w:t>计</w:t>
      </w:r>
      <w:r>
        <w:rPr>
          <w:rFonts w:hint="eastAsia" w:ascii="仿宋_GB2312" w:hAnsi="仿宋_GB2312" w:eastAsia="仿宋_GB2312" w:cs="仿宋_GB2312"/>
          <w:spacing w:val="1"/>
          <w:w w:val="95"/>
          <w:sz w:val="32"/>
          <w:szCs w:val="32"/>
          <w:lang w:eastAsia="zh-CN"/>
        </w:rPr>
        <w:t>费</w:t>
      </w:r>
      <w:r>
        <w:rPr>
          <w:rFonts w:hint="eastAsia" w:ascii="仿宋_GB2312" w:hAnsi="仿宋_GB2312" w:eastAsia="仿宋_GB2312" w:cs="仿宋_GB2312"/>
          <w:w w:val="95"/>
          <w:sz w:val="32"/>
          <w:szCs w:val="32"/>
          <w:lang w:eastAsia="zh-CN"/>
        </w:rPr>
        <w:t>价格</w:t>
      </w:r>
      <w:r>
        <w:rPr>
          <w:rFonts w:hint="eastAsia" w:ascii="仿宋_GB2312" w:hAnsi="仿宋_GB2312" w:eastAsia="仿宋_GB2312" w:cs="仿宋_GB2312"/>
          <w:spacing w:val="1"/>
          <w:w w:val="95"/>
          <w:sz w:val="32"/>
          <w:szCs w:val="32"/>
          <w:lang w:eastAsia="zh-CN"/>
        </w:rPr>
        <w:t>参</w:t>
      </w:r>
      <w:r>
        <w:rPr>
          <w:rFonts w:hint="eastAsia" w:ascii="仿宋_GB2312" w:hAnsi="仿宋_GB2312" w:eastAsia="仿宋_GB2312" w:cs="仿宋_GB2312"/>
          <w:w w:val="95"/>
          <w:sz w:val="32"/>
          <w:szCs w:val="32"/>
          <w:lang w:eastAsia="zh-CN"/>
        </w:rPr>
        <w:t>考</w:t>
      </w:r>
      <w:r>
        <w:rPr>
          <w:rFonts w:hint="eastAsia" w:ascii="仿宋_GB2312" w:hAnsi="仿宋_GB2312" w:eastAsia="仿宋_GB2312" w:cs="仿宋_GB2312"/>
          <w:spacing w:val="2"/>
          <w:sz w:val="32"/>
          <w:szCs w:val="32"/>
          <w:lang w:eastAsia="zh-CN"/>
        </w:rPr>
        <w:t>国</w:t>
      </w:r>
      <w:r>
        <w:rPr>
          <w:rFonts w:hint="eastAsia" w:ascii="仿宋_GB2312" w:hAnsi="仿宋_GB2312" w:eastAsia="仿宋_GB2312" w:cs="仿宋_GB2312"/>
          <w:sz w:val="32"/>
          <w:szCs w:val="32"/>
          <w:lang w:eastAsia="zh-CN"/>
        </w:rPr>
        <w:t>家有</w:t>
      </w:r>
      <w:r>
        <w:rPr>
          <w:rFonts w:hint="eastAsia" w:ascii="仿宋_GB2312" w:hAnsi="仿宋_GB2312" w:eastAsia="仿宋_GB2312" w:cs="仿宋_GB2312"/>
          <w:spacing w:val="2"/>
          <w:sz w:val="32"/>
          <w:szCs w:val="32"/>
          <w:lang w:eastAsia="zh-CN"/>
        </w:rPr>
        <w:t>关</w:t>
      </w:r>
      <w:r>
        <w:rPr>
          <w:rFonts w:hint="eastAsia" w:ascii="仿宋_GB2312" w:hAnsi="仿宋_GB2312" w:eastAsia="仿宋_GB2312" w:cs="仿宋_GB2312"/>
          <w:sz w:val="32"/>
          <w:szCs w:val="32"/>
          <w:lang w:eastAsia="zh-CN"/>
        </w:rPr>
        <w:t>部门发</w:t>
      </w:r>
      <w:r>
        <w:rPr>
          <w:rFonts w:hint="eastAsia" w:ascii="仿宋_GB2312" w:hAnsi="仿宋_GB2312" w:eastAsia="仿宋_GB2312" w:cs="仿宋_GB2312"/>
          <w:spacing w:val="2"/>
          <w:sz w:val="32"/>
          <w:szCs w:val="32"/>
          <w:lang w:eastAsia="zh-CN"/>
        </w:rPr>
        <w:t>布</w:t>
      </w:r>
      <w:r>
        <w:rPr>
          <w:rFonts w:hint="eastAsia" w:ascii="仿宋_GB2312" w:hAnsi="仿宋_GB2312" w:eastAsia="仿宋_GB2312" w:cs="仿宋_GB2312"/>
          <w:sz w:val="32"/>
          <w:szCs w:val="32"/>
          <w:lang w:eastAsia="zh-CN"/>
        </w:rPr>
        <w:t>的测</w:t>
      </w:r>
      <w:r>
        <w:rPr>
          <w:rFonts w:hint="eastAsia" w:ascii="仿宋_GB2312" w:hAnsi="仿宋_GB2312" w:eastAsia="仿宋_GB2312" w:cs="仿宋_GB2312"/>
          <w:spacing w:val="2"/>
          <w:sz w:val="32"/>
          <w:szCs w:val="32"/>
          <w:lang w:eastAsia="zh-CN"/>
        </w:rPr>
        <w:t>绘</w:t>
      </w:r>
      <w:r>
        <w:rPr>
          <w:rFonts w:hint="eastAsia" w:ascii="仿宋_GB2312" w:hAnsi="仿宋_GB2312" w:eastAsia="仿宋_GB2312" w:cs="仿宋_GB2312"/>
          <w:sz w:val="32"/>
          <w:szCs w:val="32"/>
          <w:lang w:eastAsia="zh-CN"/>
        </w:rPr>
        <w:t>生产成</w:t>
      </w:r>
      <w:r>
        <w:rPr>
          <w:rFonts w:hint="eastAsia" w:ascii="仿宋_GB2312" w:hAnsi="仿宋_GB2312" w:eastAsia="仿宋_GB2312" w:cs="仿宋_GB2312"/>
          <w:spacing w:val="2"/>
          <w:sz w:val="32"/>
          <w:szCs w:val="32"/>
          <w:lang w:eastAsia="zh-CN"/>
        </w:rPr>
        <w:t>本</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pacing w:val="2"/>
          <w:sz w:val="32"/>
          <w:szCs w:val="32"/>
          <w:lang w:eastAsia="zh-CN"/>
        </w:rPr>
        <w:t>定</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可参照</w:t>
      </w:r>
      <w:r>
        <w:rPr>
          <w:rFonts w:hint="eastAsia" w:ascii="仿宋_GB2312" w:hAnsi="仿宋_GB2312" w:eastAsia="仿宋_GB2312" w:cs="仿宋_GB2312"/>
          <w:color w:val="000000" w:themeColor="text1"/>
          <w:sz w:val="32"/>
          <w:szCs w:val="32"/>
          <w14:textFill>
            <w14:solidFill>
              <w14:schemeClr w14:val="tx1"/>
            </w14:solidFill>
          </w14:textFill>
        </w:rPr>
        <w:t>《测绘工程产品价格》（国测财字〔2002〕3号）、《测绘生产成本费用定额》（财建〔2009〕17号）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实行市场指导价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w w:val="95"/>
          <w:sz w:val="32"/>
          <w:szCs w:val="32"/>
          <w:lang w:eastAsia="zh-CN"/>
        </w:rPr>
        <w:t>由委托</w:t>
      </w:r>
      <w:r>
        <w:rPr>
          <w:rFonts w:hint="eastAsia" w:ascii="仿宋_GB2312" w:hAnsi="仿宋_GB2312" w:eastAsia="仿宋_GB2312" w:cs="仿宋_GB2312"/>
          <w:spacing w:val="1"/>
          <w:w w:val="95"/>
          <w:sz w:val="32"/>
          <w:szCs w:val="32"/>
          <w:lang w:eastAsia="zh-CN"/>
        </w:rPr>
        <w:t>双</w:t>
      </w:r>
      <w:r>
        <w:rPr>
          <w:rFonts w:hint="eastAsia" w:ascii="仿宋_GB2312" w:hAnsi="仿宋_GB2312" w:eastAsia="仿宋_GB2312" w:cs="仿宋_GB2312"/>
          <w:w w:val="95"/>
          <w:sz w:val="32"/>
          <w:szCs w:val="32"/>
          <w:lang w:eastAsia="zh-CN"/>
        </w:rPr>
        <w:t>方依</w:t>
      </w:r>
      <w:r>
        <w:rPr>
          <w:rFonts w:hint="eastAsia" w:ascii="仿宋_GB2312" w:hAnsi="仿宋_GB2312" w:eastAsia="仿宋_GB2312" w:cs="仿宋_GB2312"/>
          <w:spacing w:val="1"/>
          <w:w w:val="95"/>
          <w:sz w:val="32"/>
          <w:szCs w:val="32"/>
          <w:lang w:eastAsia="zh-CN"/>
        </w:rPr>
        <w:t>据</w:t>
      </w:r>
      <w:r>
        <w:rPr>
          <w:rFonts w:hint="eastAsia" w:ascii="仿宋_GB2312" w:hAnsi="仿宋_GB2312" w:eastAsia="仿宋_GB2312" w:cs="仿宋_GB2312"/>
          <w:w w:val="95"/>
          <w:sz w:val="32"/>
          <w:szCs w:val="32"/>
          <w:lang w:eastAsia="zh-CN"/>
        </w:rPr>
        <w:t>服务成</w:t>
      </w:r>
      <w:r>
        <w:rPr>
          <w:rFonts w:hint="eastAsia" w:ascii="仿宋_GB2312" w:hAnsi="仿宋_GB2312" w:eastAsia="仿宋_GB2312" w:cs="仿宋_GB2312"/>
          <w:spacing w:val="1"/>
          <w:w w:val="95"/>
          <w:sz w:val="32"/>
          <w:szCs w:val="32"/>
          <w:lang w:eastAsia="zh-CN"/>
        </w:rPr>
        <w:t>本</w:t>
      </w:r>
      <w:r>
        <w:rPr>
          <w:rFonts w:hint="eastAsia" w:ascii="仿宋_GB2312" w:hAnsi="仿宋_GB2312" w:eastAsia="仿宋_GB2312" w:cs="仿宋_GB2312"/>
          <w:spacing w:val="-8"/>
          <w:w w:val="95"/>
          <w:sz w:val="32"/>
          <w:szCs w:val="32"/>
          <w:lang w:eastAsia="zh-CN"/>
        </w:rPr>
        <w:t>、</w:t>
      </w:r>
      <w:r>
        <w:rPr>
          <w:rFonts w:hint="eastAsia" w:ascii="仿宋_GB2312" w:hAnsi="仿宋_GB2312" w:eastAsia="仿宋_GB2312" w:cs="仿宋_GB2312"/>
          <w:w w:val="95"/>
          <w:sz w:val="32"/>
          <w:szCs w:val="32"/>
          <w:lang w:eastAsia="zh-CN"/>
        </w:rPr>
        <w:t>服</w:t>
      </w:r>
      <w:r>
        <w:rPr>
          <w:rFonts w:hint="eastAsia" w:ascii="仿宋_GB2312" w:hAnsi="仿宋_GB2312" w:eastAsia="仿宋_GB2312" w:cs="仿宋_GB2312"/>
          <w:spacing w:val="1"/>
          <w:w w:val="95"/>
          <w:sz w:val="32"/>
          <w:szCs w:val="32"/>
          <w:lang w:eastAsia="zh-CN"/>
        </w:rPr>
        <w:t>务</w:t>
      </w:r>
      <w:r>
        <w:rPr>
          <w:rFonts w:hint="eastAsia" w:ascii="仿宋_GB2312" w:hAnsi="仿宋_GB2312" w:eastAsia="仿宋_GB2312" w:cs="仿宋_GB2312"/>
          <w:w w:val="95"/>
          <w:sz w:val="32"/>
          <w:szCs w:val="32"/>
          <w:lang w:eastAsia="zh-CN"/>
        </w:rPr>
        <w:t>质</w:t>
      </w:r>
      <w:r>
        <w:rPr>
          <w:rFonts w:hint="eastAsia" w:ascii="仿宋_GB2312" w:hAnsi="仿宋_GB2312" w:eastAsia="仿宋_GB2312" w:cs="仿宋_GB2312"/>
          <w:spacing w:val="1"/>
          <w:w w:val="95"/>
          <w:sz w:val="32"/>
          <w:szCs w:val="32"/>
          <w:lang w:eastAsia="zh-CN"/>
        </w:rPr>
        <w:t>量</w:t>
      </w:r>
      <w:r>
        <w:rPr>
          <w:rFonts w:hint="eastAsia" w:ascii="仿宋_GB2312" w:hAnsi="仿宋_GB2312" w:eastAsia="仿宋_GB2312" w:cs="仿宋_GB2312"/>
          <w:w w:val="95"/>
          <w:sz w:val="32"/>
          <w:szCs w:val="32"/>
          <w:lang w:eastAsia="zh-CN"/>
        </w:rPr>
        <w:t>和市</w:t>
      </w:r>
      <w:r>
        <w:rPr>
          <w:rFonts w:hint="eastAsia" w:ascii="仿宋_GB2312" w:hAnsi="仿宋_GB2312" w:eastAsia="仿宋_GB2312" w:cs="仿宋_GB2312"/>
          <w:spacing w:val="1"/>
          <w:w w:val="95"/>
          <w:sz w:val="32"/>
          <w:szCs w:val="32"/>
          <w:lang w:eastAsia="zh-CN"/>
        </w:rPr>
        <w:t>场</w:t>
      </w:r>
      <w:r>
        <w:rPr>
          <w:rFonts w:hint="eastAsia" w:ascii="仿宋_GB2312" w:hAnsi="仿宋_GB2312" w:eastAsia="仿宋_GB2312" w:cs="仿宋_GB2312"/>
          <w:w w:val="95"/>
          <w:sz w:val="32"/>
          <w:szCs w:val="32"/>
          <w:lang w:eastAsia="zh-CN"/>
        </w:rPr>
        <w:t>供求状</w:t>
      </w:r>
      <w:r>
        <w:rPr>
          <w:rFonts w:hint="eastAsia" w:ascii="仿宋_GB2312" w:hAnsi="仿宋_GB2312" w:eastAsia="仿宋_GB2312" w:cs="仿宋_GB2312"/>
          <w:spacing w:val="1"/>
          <w:w w:val="95"/>
          <w:sz w:val="32"/>
          <w:szCs w:val="32"/>
          <w:lang w:eastAsia="zh-CN"/>
        </w:rPr>
        <w:t>态</w:t>
      </w:r>
      <w:r>
        <w:rPr>
          <w:rFonts w:hint="eastAsia" w:ascii="仿宋_GB2312" w:hAnsi="仿宋_GB2312" w:eastAsia="仿宋_GB2312" w:cs="仿宋_GB2312"/>
          <w:w w:val="95"/>
          <w:sz w:val="32"/>
          <w:szCs w:val="32"/>
          <w:lang w:eastAsia="zh-CN"/>
        </w:rPr>
        <w:t>等协</w:t>
      </w:r>
      <w:r>
        <w:rPr>
          <w:rFonts w:hint="eastAsia" w:ascii="仿宋_GB2312" w:hAnsi="仿宋_GB2312" w:eastAsia="仿宋_GB2312" w:cs="仿宋_GB2312"/>
          <w:spacing w:val="1"/>
          <w:w w:val="95"/>
          <w:sz w:val="32"/>
          <w:szCs w:val="32"/>
          <w:lang w:eastAsia="zh-CN"/>
        </w:rPr>
        <w:t>商</w:t>
      </w:r>
      <w:r>
        <w:rPr>
          <w:rFonts w:hint="eastAsia" w:ascii="仿宋_GB2312" w:hAnsi="仿宋_GB2312" w:eastAsia="仿宋_GB2312" w:cs="仿宋_GB2312"/>
          <w:w w:val="95"/>
          <w:sz w:val="32"/>
          <w:szCs w:val="32"/>
          <w:lang w:eastAsia="zh-CN"/>
        </w:rPr>
        <w:t>确</w:t>
      </w:r>
      <w:r>
        <w:rPr>
          <w:rFonts w:hint="eastAsia" w:ascii="仿宋_GB2312" w:hAnsi="仿宋_GB2312" w:eastAsia="仿宋_GB2312" w:cs="仿宋_GB2312"/>
          <w:spacing w:val="1"/>
          <w:w w:val="95"/>
          <w:sz w:val="32"/>
          <w:szCs w:val="32"/>
          <w:lang w:eastAsia="zh-CN"/>
        </w:rPr>
        <w:t>定，</w:t>
      </w:r>
      <w:r>
        <w:rPr>
          <w:rFonts w:hint="eastAsia" w:ascii="仿宋_GB2312" w:hAnsi="仿宋_GB2312" w:eastAsia="仿宋_GB2312" w:cs="仿宋_GB2312"/>
          <w:color w:val="000000" w:themeColor="text1"/>
          <w:sz w:val="32"/>
          <w:szCs w:val="32"/>
          <w14:textFill>
            <w14:solidFill>
              <w14:schemeClr w14:val="tx1"/>
            </w14:solidFill>
          </w14:textFill>
        </w:rPr>
        <w:t>避免因价格垄断或恶性竞争造成测绘质量低劣，导致多方纠纷后果</w:t>
      </w:r>
      <w:r>
        <w:rPr>
          <w:rFonts w:hint="eastAsia" w:ascii="仿宋_GB2312" w:hAnsi="仿宋_GB2312" w:eastAsia="仿宋_GB2312" w:cs="仿宋_GB2312"/>
          <w:spacing w:val="-15"/>
          <w:w w:val="95"/>
          <w:sz w:val="32"/>
          <w:szCs w:val="32"/>
          <w:lang w:eastAsia="zh-CN"/>
        </w:rPr>
        <w:t>。</w:t>
      </w:r>
    </w:p>
    <w:p>
      <w:pPr>
        <w:pStyle w:val="4"/>
        <w:keepNext w:val="0"/>
        <w:keepLines w:val="0"/>
        <w:pageBreakBefore w:val="0"/>
        <w:widowControl/>
        <w:kinsoku/>
        <w:wordWrap/>
        <w:overflowPunct/>
        <w:topLinePunct w:val="0"/>
        <w:autoSpaceDE/>
        <w:autoSpaceDN/>
        <w:bidi w:val="0"/>
        <w:adjustRightInd w:val="0"/>
        <w:snapToGrid w:val="0"/>
        <w:spacing w:line="240" w:lineRule="auto"/>
        <w:ind w:left="0" w:right="0" w:firstLine="608" w:firstLineChars="200"/>
        <w:jc w:val="both"/>
        <w:textAlignment w:val="auto"/>
        <w:rPr>
          <w:rFonts w:hint="eastAsia" w:ascii="仿宋_GB2312" w:hAnsi="仿宋_GB2312" w:eastAsia="仿宋_GB2312" w:cs="仿宋_GB2312"/>
          <w:w w:val="95"/>
          <w:sz w:val="32"/>
          <w:szCs w:val="32"/>
          <w:lang w:eastAsia="zh-CN"/>
        </w:rPr>
      </w:pPr>
      <w:r>
        <w:rPr>
          <w:rFonts w:hint="eastAsia" w:ascii="仿宋_GB2312" w:hAnsi="仿宋_GB2312" w:eastAsia="仿宋_GB2312" w:cs="仿宋_GB2312"/>
          <w:w w:val="95"/>
          <w:sz w:val="32"/>
          <w:szCs w:val="32"/>
          <w:lang w:eastAsia="zh-CN"/>
        </w:rPr>
        <w:t>市自然资源主管部门应当对明显高于或低于市场平均价格水平的“多测合一”项目加强质量监管。</w:t>
      </w: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第二十条</w:t>
      </w:r>
      <w:r>
        <w:rPr>
          <w:rFonts w:hint="eastAsia" w:ascii="仿宋_GB2312" w:hAnsi="仿宋_GB2312" w:eastAsia="仿宋_GB2312" w:cs="仿宋_GB2312"/>
          <w:color w:val="000000"/>
          <w:sz w:val="32"/>
          <w:szCs w:val="32"/>
          <w:lang w:val="en-US" w:eastAsia="zh-CN"/>
        </w:rPr>
        <w:t xml:space="preserve"> 建设单位均应按要求开展“多测合一”业务，及时与测绘单位签订业务合同，明确各自的法律责任，按业务合同约定督促测绘单位按时出具相应的成果报告，并对报送的测绘成果报告的真实性、完整性负责，不得弄虚作假、隐瞒真实情况。因建设单位提供的基础材料不实，产生损害性后果的，由建设单位承担相关法律责任。</w:t>
      </w:r>
    </w:p>
    <w:p>
      <w:pPr>
        <w:keepNext w:val="0"/>
        <w:keepLines w:val="0"/>
        <w:pageBreakBefore w:val="0"/>
        <w:widowControl/>
        <w:numPr>
          <w:ilvl w:val="0"/>
          <w:numId w:val="0"/>
        </w:numPr>
        <w:kinsoku/>
        <w:wordWrap/>
        <w:overflowPunct/>
        <w:topLinePunct/>
        <w:autoSpaceDE w:val="0"/>
        <w:autoSpaceDN w:val="0"/>
        <w:bidi w:val="0"/>
        <w:adjustRightInd/>
        <w:snapToGrid/>
        <w:spacing w:line="240" w:lineRule="auto"/>
        <w:jc w:val="both"/>
        <w:textAlignment w:val="auto"/>
        <w:rPr>
          <w:rFonts w:hint="default" w:ascii="仿宋" w:hAnsi="仿宋" w:eastAsia="仿宋"/>
          <w:color w:val="000000"/>
          <w:sz w:val="32"/>
          <w:szCs w:val="32"/>
          <w:lang w:val="en-US" w:eastAsia="zh-CN"/>
        </w:rPr>
      </w:pPr>
    </w:p>
    <w:p>
      <w:pPr>
        <w:pStyle w:val="4"/>
        <w:keepNext w:val="0"/>
        <w:keepLines w:val="0"/>
        <w:pageBreakBefore w:val="0"/>
        <w:widowControl/>
        <w:kinsoku/>
        <w:wordWrap/>
        <w:overflowPunct/>
        <w:bidi w:val="0"/>
        <w:adjustRightInd w:val="0"/>
        <w:snapToGrid w:val="0"/>
        <w:spacing w:line="240" w:lineRule="auto"/>
        <w:ind w:right="42"/>
        <w:jc w:val="center"/>
        <w:textAlignment w:val="auto"/>
        <w:rPr>
          <w:rFonts w:ascii="黑体" w:hAnsi="黑体" w:eastAsia="黑体"/>
          <w:spacing w:val="2"/>
          <w:lang w:eastAsia="zh-CN"/>
        </w:rPr>
      </w:pPr>
      <w:r>
        <w:rPr>
          <w:rFonts w:ascii="黑体" w:hAnsi="黑体" w:eastAsia="黑体"/>
          <w:spacing w:val="2"/>
          <w:lang w:eastAsia="zh-CN"/>
        </w:rPr>
        <w:t>第</w:t>
      </w:r>
      <w:r>
        <w:rPr>
          <w:rFonts w:hint="eastAsia" w:ascii="黑体" w:hAnsi="黑体" w:eastAsia="黑体"/>
          <w:spacing w:val="2"/>
          <w:lang w:val="en-US" w:eastAsia="zh-CN"/>
        </w:rPr>
        <w:t>四</w:t>
      </w:r>
      <w:r>
        <w:rPr>
          <w:rFonts w:ascii="黑体" w:hAnsi="黑体" w:eastAsia="黑体"/>
          <w:spacing w:val="2"/>
          <w:lang w:eastAsia="zh-CN"/>
        </w:rPr>
        <w:t>章</w:t>
      </w:r>
      <w:r>
        <w:rPr>
          <w:rFonts w:hint="eastAsia" w:ascii="黑体" w:hAnsi="黑体" w:eastAsia="黑体"/>
          <w:spacing w:val="2"/>
          <w:lang w:eastAsia="zh-CN"/>
        </w:rPr>
        <w:t xml:space="preserve"> </w:t>
      </w:r>
      <w:r>
        <w:rPr>
          <w:rFonts w:ascii="黑体" w:hAnsi="黑体" w:eastAsia="黑体"/>
          <w:spacing w:val="2"/>
          <w:lang w:eastAsia="zh-CN"/>
        </w:rPr>
        <w:t xml:space="preserve"> 监督管理</w:t>
      </w:r>
    </w:p>
    <w:p>
      <w:pPr>
        <w:pStyle w:val="4"/>
        <w:keepNext w:val="0"/>
        <w:keepLines w:val="0"/>
        <w:pageBreakBefore w:val="0"/>
        <w:widowControl/>
        <w:kinsoku/>
        <w:wordWrap/>
        <w:overflowPunct/>
        <w:bidi w:val="0"/>
        <w:adjustRightInd w:val="0"/>
        <w:snapToGrid w:val="0"/>
        <w:spacing w:line="240" w:lineRule="auto"/>
        <w:ind w:right="42"/>
        <w:jc w:val="center"/>
        <w:textAlignment w:val="auto"/>
        <w:rPr>
          <w:rFonts w:ascii="黑体" w:hAnsi="黑体" w:eastAsia="黑体"/>
          <w:spacing w:val="2"/>
          <w:lang w:eastAsia="zh-CN"/>
        </w:rPr>
      </w:pPr>
    </w:p>
    <w:p>
      <w:pPr>
        <w:pStyle w:val="4"/>
        <w:keepNext w:val="0"/>
        <w:keepLines w:val="0"/>
        <w:pageBreakBefore w:val="0"/>
        <w:widowControl/>
        <w:kinsoku/>
        <w:wordWrap/>
        <w:overflowPunct/>
        <w:bidi w:val="0"/>
        <w:adjustRightInd w:val="0"/>
        <w:snapToGrid w:val="0"/>
        <w:spacing w:line="240" w:lineRule="auto"/>
        <w:ind w:left="0" w:right="42" w:firstLine="676" w:firstLineChars="220"/>
        <w:jc w:val="both"/>
        <w:textAlignment w:val="auto"/>
        <w:rPr>
          <w:rFonts w:ascii="仿宋_GB2312" w:eastAsia="仿宋_GB2312"/>
          <w:lang w:eastAsia="zh-CN"/>
        </w:rPr>
      </w:pPr>
      <w:r>
        <w:rPr>
          <w:rFonts w:ascii="仿宋_GB2312" w:eastAsia="仿宋_GB2312"/>
          <w:b/>
          <w:bCs/>
          <w:spacing w:val="1"/>
          <w:w w:val="95"/>
          <w:lang w:eastAsia="zh-CN"/>
        </w:rPr>
        <w:t>第</w:t>
      </w:r>
      <w:r>
        <w:rPr>
          <w:rFonts w:hint="eastAsia" w:ascii="仿宋_GB2312" w:eastAsia="仿宋_GB2312"/>
          <w:b/>
          <w:bCs/>
          <w:spacing w:val="1"/>
          <w:w w:val="95"/>
          <w:lang w:val="en-US" w:eastAsia="zh-CN"/>
        </w:rPr>
        <w:t>二十一</w:t>
      </w:r>
      <w:r>
        <w:rPr>
          <w:rFonts w:ascii="仿宋_GB2312" w:eastAsia="仿宋_GB2312"/>
          <w:b/>
          <w:bCs/>
          <w:spacing w:val="-15"/>
          <w:w w:val="95"/>
          <w:lang w:eastAsia="zh-CN"/>
        </w:rPr>
        <w:t>条</w:t>
      </w:r>
      <w:r>
        <w:rPr>
          <w:rFonts w:hint="eastAsia" w:ascii="仿宋_GB2312" w:eastAsia="仿宋_GB2312"/>
          <w:b/>
          <w:bCs/>
          <w:spacing w:val="-15"/>
          <w:w w:val="95"/>
          <w:lang w:eastAsia="zh-CN"/>
        </w:rPr>
        <w:t xml:space="preserve"> </w:t>
      </w:r>
      <w:r>
        <w:rPr>
          <w:rFonts w:hint="eastAsia" w:ascii="仿宋_GB2312" w:eastAsia="仿宋_GB2312"/>
          <w:bCs/>
          <w:spacing w:val="-14"/>
          <w:w w:val="95"/>
          <w:lang w:eastAsia="zh-CN"/>
        </w:rPr>
        <w:t>市</w:t>
      </w:r>
      <w:r>
        <w:rPr>
          <w:rFonts w:ascii="仿宋_GB2312" w:eastAsia="仿宋_GB2312"/>
          <w:w w:val="95"/>
          <w:lang w:eastAsia="zh-CN"/>
        </w:rPr>
        <w:t>自</w:t>
      </w:r>
      <w:r>
        <w:rPr>
          <w:rFonts w:ascii="仿宋_GB2312" w:eastAsia="仿宋_GB2312"/>
          <w:spacing w:val="1"/>
          <w:w w:val="95"/>
          <w:lang w:eastAsia="zh-CN"/>
        </w:rPr>
        <w:t>然</w:t>
      </w:r>
      <w:r>
        <w:rPr>
          <w:rFonts w:ascii="仿宋_GB2312" w:eastAsia="仿宋_GB2312"/>
          <w:w w:val="95"/>
          <w:lang w:eastAsia="zh-CN"/>
        </w:rPr>
        <w:t>资源</w:t>
      </w:r>
      <w:r>
        <w:rPr>
          <w:rFonts w:hint="eastAsia" w:ascii="仿宋_GB2312" w:eastAsia="仿宋_GB2312"/>
          <w:spacing w:val="1"/>
          <w:w w:val="95"/>
          <w:lang w:val="en-US" w:eastAsia="zh-CN"/>
        </w:rPr>
        <w:t>局</w:t>
      </w:r>
      <w:r>
        <w:rPr>
          <w:rFonts w:hint="eastAsia" w:ascii="仿宋_GB2312" w:eastAsia="仿宋_GB2312"/>
          <w:spacing w:val="1"/>
          <w:w w:val="95"/>
          <w:lang w:eastAsia="zh-CN"/>
        </w:rPr>
        <w:t>依据</w:t>
      </w:r>
      <w:r>
        <w:rPr>
          <w:rFonts w:ascii="仿宋_GB2312" w:eastAsia="仿宋_GB2312"/>
          <w:w w:val="95"/>
          <w:lang w:eastAsia="zh-CN"/>
        </w:rPr>
        <w:t>相</w:t>
      </w:r>
      <w:r>
        <w:rPr>
          <w:rFonts w:ascii="仿宋_GB2312" w:eastAsia="仿宋_GB2312"/>
          <w:spacing w:val="2"/>
          <w:lang w:eastAsia="zh-CN"/>
        </w:rPr>
        <w:t>关</w:t>
      </w:r>
      <w:r>
        <w:rPr>
          <w:rFonts w:ascii="仿宋_GB2312" w:eastAsia="仿宋_GB2312"/>
          <w:lang w:eastAsia="zh-CN"/>
        </w:rPr>
        <w:t>法律</w:t>
      </w:r>
      <w:r>
        <w:rPr>
          <w:rFonts w:ascii="仿宋_GB2312" w:eastAsia="仿宋_GB2312"/>
          <w:spacing w:val="2"/>
          <w:lang w:eastAsia="zh-CN"/>
        </w:rPr>
        <w:t>法</w:t>
      </w:r>
      <w:r>
        <w:rPr>
          <w:rFonts w:ascii="仿宋_GB2312" w:eastAsia="仿宋_GB2312"/>
          <w:lang w:eastAsia="zh-CN"/>
        </w:rPr>
        <w:t>规</w:t>
      </w:r>
      <w:r>
        <w:rPr>
          <w:rFonts w:hint="eastAsia" w:ascii="仿宋_GB2312" w:eastAsia="仿宋_GB2312"/>
          <w:lang w:eastAsia="zh-CN"/>
        </w:rPr>
        <w:t>，按照“双随机、一公开”的原则</w:t>
      </w:r>
      <w:r>
        <w:rPr>
          <w:rFonts w:ascii="仿宋_GB2312" w:eastAsia="仿宋_GB2312"/>
          <w:lang w:eastAsia="zh-CN"/>
        </w:rPr>
        <w:t>开展</w:t>
      </w:r>
      <w:r>
        <w:rPr>
          <w:rFonts w:ascii="仿宋_GB2312" w:eastAsia="仿宋_GB2312"/>
          <w:spacing w:val="2"/>
          <w:lang w:eastAsia="zh-CN"/>
        </w:rPr>
        <w:t>“多测合一”</w:t>
      </w:r>
      <w:r>
        <w:rPr>
          <w:rFonts w:ascii="仿宋_GB2312" w:eastAsia="仿宋_GB2312"/>
          <w:lang w:eastAsia="zh-CN"/>
        </w:rPr>
        <w:t>监督检</w:t>
      </w:r>
      <w:r>
        <w:rPr>
          <w:rFonts w:ascii="仿宋_GB2312" w:eastAsia="仿宋_GB2312"/>
          <w:spacing w:val="2"/>
          <w:lang w:eastAsia="zh-CN"/>
        </w:rPr>
        <w:t>查</w:t>
      </w:r>
      <w:r>
        <w:rPr>
          <w:rFonts w:ascii="仿宋_GB2312" w:eastAsia="仿宋_GB2312"/>
          <w:lang w:eastAsia="zh-CN"/>
        </w:rPr>
        <w:t>工</w:t>
      </w:r>
      <w:r>
        <w:rPr>
          <w:rFonts w:ascii="仿宋_GB2312" w:eastAsia="仿宋_GB2312"/>
          <w:spacing w:val="2"/>
          <w:lang w:eastAsia="zh-CN"/>
        </w:rPr>
        <w:t>作</w:t>
      </w:r>
      <w:r>
        <w:rPr>
          <w:rFonts w:ascii="仿宋_GB2312" w:eastAsia="仿宋_GB2312"/>
          <w:spacing w:val="-16"/>
          <w:lang w:eastAsia="zh-CN"/>
        </w:rPr>
        <w:t>，</w:t>
      </w:r>
      <w:r>
        <w:rPr>
          <w:rFonts w:ascii="仿宋_GB2312" w:eastAsia="仿宋_GB2312"/>
          <w:lang w:eastAsia="zh-CN"/>
        </w:rPr>
        <w:t>随</w:t>
      </w:r>
      <w:r>
        <w:rPr>
          <w:rFonts w:ascii="仿宋_GB2312" w:eastAsia="仿宋_GB2312"/>
          <w:spacing w:val="4"/>
          <w:lang w:eastAsia="zh-CN"/>
        </w:rPr>
        <w:t>机</w:t>
      </w:r>
      <w:r>
        <w:rPr>
          <w:rFonts w:ascii="仿宋_GB2312" w:eastAsia="仿宋_GB2312"/>
          <w:lang w:eastAsia="zh-CN"/>
        </w:rPr>
        <w:t>抽</w:t>
      </w:r>
      <w:r>
        <w:rPr>
          <w:rFonts w:ascii="仿宋_GB2312" w:eastAsia="仿宋_GB2312"/>
          <w:spacing w:val="2"/>
          <w:lang w:eastAsia="zh-CN"/>
        </w:rPr>
        <w:t>取</w:t>
      </w:r>
      <w:r>
        <w:rPr>
          <w:rFonts w:ascii="仿宋_GB2312" w:eastAsia="仿宋_GB2312"/>
          <w:lang w:eastAsia="zh-CN"/>
        </w:rPr>
        <w:t>被检</w:t>
      </w:r>
      <w:r>
        <w:rPr>
          <w:rFonts w:ascii="仿宋_GB2312" w:eastAsia="仿宋_GB2312"/>
          <w:spacing w:val="2"/>
          <w:lang w:eastAsia="zh-CN"/>
        </w:rPr>
        <w:t>查</w:t>
      </w:r>
      <w:r>
        <w:rPr>
          <w:rFonts w:hint="eastAsia" w:ascii="仿宋_GB2312" w:eastAsia="仿宋_GB2312"/>
          <w:spacing w:val="2"/>
          <w:lang w:eastAsia="zh-CN"/>
        </w:rPr>
        <w:t>对</w:t>
      </w:r>
      <w:r>
        <w:rPr>
          <w:rFonts w:ascii="仿宋_GB2312" w:eastAsia="仿宋_GB2312"/>
          <w:spacing w:val="7"/>
          <w:lang w:eastAsia="zh-CN"/>
        </w:rPr>
        <w:t>象</w:t>
      </w:r>
      <w:r>
        <w:rPr>
          <w:rFonts w:ascii="仿宋_GB2312" w:eastAsia="仿宋_GB2312"/>
          <w:spacing w:val="4"/>
          <w:lang w:eastAsia="zh-CN"/>
        </w:rPr>
        <w:t>、随</w:t>
      </w:r>
      <w:r>
        <w:rPr>
          <w:rFonts w:ascii="仿宋_GB2312" w:eastAsia="仿宋_GB2312"/>
          <w:spacing w:val="7"/>
          <w:lang w:eastAsia="zh-CN"/>
        </w:rPr>
        <w:t>机</w:t>
      </w:r>
      <w:r>
        <w:rPr>
          <w:rFonts w:ascii="仿宋_GB2312" w:eastAsia="仿宋_GB2312"/>
          <w:spacing w:val="4"/>
          <w:lang w:eastAsia="zh-CN"/>
        </w:rPr>
        <w:t>选派检</w:t>
      </w:r>
      <w:r>
        <w:rPr>
          <w:rFonts w:ascii="仿宋_GB2312" w:eastAsia="仿宋_GB2312"/>
          <w:spacing w:val="7"/>
          <w:lang w:eastAsia="zh-CN"/>
        </w:rPr>
        <w:t>查</w:t>
      </w:r>
      <w:r>
        <w:rPr>
          <w:rFonts w:ascii="仿宋_GB2312" w:eastAsia="仿宋_GB2312"/>
          <w:spacing w:val="4"/>
          <w:lang w:eastAsia="zh-CN"/>
        </w:rPr>
        <w:t>人员</w:t>
      </w:r>
      <w:r>
        <w:rPr>
          <w:rFonts w:ascii="仿宋_GB2312" w:eastAsia="仿宋_GB2312"/>
          <w:spacing w:val="7"/>
          <w:lang w:eastAsia="zh-CN"/>
        </w:rPr>
        <w:t>，</w:t>
      </w:r>
      <w:r>
        <w:rPr>
          <w:rFonts w:ascii="仿宋_GB2312" w:eastAsia="仿宋_GB2312"/>
          <w:spacing w:val="4"/>
          <w:lang w:eastAsia="zh-CN"/>
        </w:rPr>
        <w:t>对测绘</w:t>
      </w:r>
      <w:r>
        <w:rPr>
          <w:rFonts w:ascii="仿宋_GB2312" w:eastAsia="仿宋_GB2312"/>
          <w:spacing w:val="7"/>
          <w:lang w:eastAsia="zh-CN"/>
        </w:rPr>
        <w:t>服</w:t>
      </w:r>
      <w:r>
        <w:rPr>
          <w:rFonts w:ascii="仿宋_GB2312" w:eastAsia="仿宋_GB2312"/>
          <w:spacing w:val="4"/>
          <w:lang w:eastAsia="zh-CN"/>
        </w:rPr>
        <w:t>务</w:t>
      </w:r>
      <w:r>
        <w:rPr>
          <w:rFonts w:ascii="仿宋_GB2312" w:eastAsia="仿宋_GB2312"/>
          <w:spacing w:val="7"/>
          <w:lang w:eastAsia="zh-CN"/>
        </w:rPr>
        <w:t>机</w:t>
      </w:r>
      <w:r>
        <w:rPr>
          <w:rFonts w:ascii="仿宋_GB2312" w:eastAsia="仿宋_GB2312"/>
          <w:spacing w:val="9"/>
          <w:lang w:eastAsia="zh-CN"/>
        </w:rPr>
        <w:t>构</w:t>
      </w:r>
      <w:r>
        <w:rPr>
          <w:rFonts w:ascii="仿宋_GB2312" w:eastAsia="仿宋_GB2312"/>
          <w:spacing w:val="7"/>
          <w:lang w:eastAsia="zh-CN"/>
        </w:rPr>
        <w:t>的承揽</w:t>
      </w:r>
      <w:r>
        <w:rPr>
          <w:rFonts w:ascii="仿宋_GB2312" w:eastAsia="仿宋_GB2312"/>
          <w:spacing w:val="9"/>
          <w:lang w:eastAsia="zh-CN"/>
        </w:rPr>
        <w:t>业</w:t>
      </w:r>
      <w:r>
        <w:rPr>
          <w:rFonts w:ascii="仿宋_GB2312" w:eastAsia="仿宋_GB2312"/>
          <w:spacing w:val="7"/>
          <w:lang w:eastAsia="zh-CN"/>
        </w:rPr>
        <w:t>务范</w:t>
      </w:r>
      <w:r>
        <w:rPr>
          <w:rFonts w:ascii="仿宋_GB2312" w:eastAsia="仿宋_GB2312"/>
          <w:spacing w:val="9"/>
          <w:lang w:eastAsia="zh-CN"/>
        </w:rPr>
        <w:t>围</w:t>
      </w:r>
      <w:r>
        <w:rPr>
          <w:rFonts w:ascii="仿宋_GB2312" w:eastAsia="仿宋_GB2312"/>
          <w:lang w:eastAsia="zh-CN"/>
        </w:rPr>
        <w:t>、</w:t>
      </w:r>
      <w:r>
        <w:rPr>
          <w:rFonts w:ascii="仿宋_GB2312" w:eastAsia="仿宋_GB2312"/>
          <w:spacing w:val="2"/>
          <w:lang w:eastAsia="zh-CN"/>
        </w:rPr>
        <w:t>技</w:t>
      </w:r>
      <w:r>
        <w:rPr>
          <w:rFonts w:ascii="仿宋_GB2312" w:eastAsia="仿宋_GB2312"/>
          <w:lang w:eastAsia="zh-CN"/>
        </w:rPr>
        <w:t>术人</w:t>
      </w:r>
      <w:r>
        <w:rPr>
          <w:rFonts w:ascii="仿宋_GB2312" w:eastAsia="仿宋_GB2312"/>
          <w:spacing w:val="2"/>
          <w:lang w:eastAsia="zh-CN"/>
        </w:rPr>
        <w:t>员</w:t>
      </w:r>
      <w:r>
        <w:rPr>
          <w:rFonts w:ascii="仿宋_GB2312" w:eastAsia="仿宋_GB2312"/>
          <w:spacing w:val="-9"/>
          <w:lang w:eastAsia="zh-CN"/>
        </w:rPr>
        <w:t>、</w:t>
      </w:r>
      <w:r>
        <w:rPr>
          <w:rFonts w:ascii="仿宋_GB2312" w:eastAsia="仿宋_GB2312"/>
          <w:lang w:eastAsia="zh-CN"/>
        </w:rPr>
        <w:t>测绘</w:t>
      </w:r>
      <w:r>
        <w:rPr>
          <w:rFonts w:ascii="仿宋_GB2312" w:eastAsia="仿宋_GB2312"/>
          <w:spacing w:val="2"/>
          <w:lang w:eastAsia="zh-CN"/>
        </w:rPr>
        <w:t>成</w:t>
      </w:r>
      <w:r>
        <w:rPr>
          <w:rFonts w:ascii="仿宋_GB2312" w:eastAsia="仿宋_GB2312"/>
          <w:lang w:eastAsia="zh-CN"/>
        </w:rPr>
        <w:t>果质</w:t>
      </w:r>
      <w:r>
        <w:rPr>
          <w:rFonts w:ascii="仿宋_GB2312" w:eastAsia="仿宋_GB2312"/>
          <w:spacing w:val="2"/>
          <w:lang w:eastAsia="zh-CN"/>
        </w:rPr>
        <w:t>量</w:t>
      </w:r>
      <w:r>
        <w:rPr>
          <w:rFonts w:ascii="仿宋_GB2312" w:eastAsia="仿宋_GB2312"/>
          <w:lang w:eastAsia="zh-CN"/>
        </w:rPr>
        <w:t>等方面</w:t>
      </w:r>
      <w:r>
        <w:rPr>
          <w:rFonts w:ascii="仿宋_GB2312" w:eastAsia="仿宋_GB2312"/>
          <w:spacing w:val="2"/>
          <w:lang w:eastAsia="zh-CN"/>
        </w:rPr>
        <w:t>的</w:t>
      </w:r>
      <w:r>
        <w:rPr>
          <w:rFonts w:ascii="仿宋_GB2312" w:eastAsia="仿宋_GB2312"/>
          <w:lang w:eastAsia="zh-CN"/>
        </w:rPr>
        <w:t>情况</w:t>
      </w:r>
      <w:r>
        <w:rPr>
          <w:rFonts w:ascii="仿宋_GB2312" w:eastAsia="仿宋_GB2312"/>
          <w:spacing w:val="2"/>
          <w:lang w:eastAsia="zh-CN"/>
        </w:rPr>
        <w:t>进</w:t>
      </w:r>
      <w:r>
        <w:rPr>
          <w:rFonts w:ascii="仿宋_GB2312" w:eastAsia="仿宋_GB2312"/>
          <w:lang w:eastAsia="zh-CN"/>
        </w:rPr>
        <w:t>行监督</w:t>
      </w:r>
      <w:r>
        <w:rPr>
          <w:rFonts w:ascii="仿宋_GB2312" w:eastAsia="仿宋_GB2312"/>
          <w:spacing w:val="2"/>
          <w:lang w:eastAsia="zh-CN"/>
        </w:rPr>
        <w:t>检</w:t>
      </w:r>
      <w:r>
        <w:rPr>
          <w:rFonts w:ascii="仿宋_GB2312" w:eastAsia="仿宋_GB2312"/>
          <w:lang w:eastAsia="zh-CN"/>
        </w:rPr>
        <w:t>查</w:t>
      </w:r>
      <w:r>
        <w:rPr>
          <w:rFonts w:hint="eastAsia" w:ascii="仿宋_GB2312" w:eastAsia="仿宋_GB2312"/>
          <w:lang w:eastAsia="zh-CN"/>
        </w:rPr>
        <w:t>，监督检查结果</w:t>
      </w:r>
      <w:r>
        <w:rPr>
          <w:rFonts w:hint="eastAsia" w:ascii="仿宋_GB2312" w:eastAsia="仿宋_GB2312"/>
          <w:lang w:val="en-US" w:eastAsia="zh-CN"/>
        </w:rPr>
        <w:t>将进行</w:t>
      </w:r>
      <w:r>
        <w:rPr>
          <w:rFonts w:hint="eastAsia" w:ascii="仿宋_GB2312" w:eastAsia="仿宋_GB2312"/>
          <w:lang w:eastAsia="zh-CN"/>
        </w:rPr>
        <w:t>公示</w:t>
      </w:r>
      <w:r>
        <w:rPr>
          <w:rFonts w:ascii="仿宋_GB2312" w:eastAsia="仿宋_GB2312"/>
          <w:spacing w:val="-9"/>
          <w:lang w:eastAsia="zh-CN"/>
        </w:rPr>
        <w:t>。</w:t>
      </w:r>
      <w:r>
        <w:rPr>
          <w:rFonts w:ascii="仿宋_GB2312" w:eastAsia="仿宋_GB2312"/>
          <w:spacing w:val="2"/>
          <w:lang w:eastAsia="zh-CN"/>
        </w:rPr>
        <w:t>测</w:t>
      </w:r>
      <w:r>
        <w:rPr>
          <w:rFonts w:ascii="仿宋_GB2312" w:eastAsia="仿宋_GB2312"/>
          <w:lang w:eastAsia="zh-CN"/>
        </w:rPr>
        <w:t>绘</w:t>
      </w:r>
      <w:r>
        <w:rPr>
          <w:rFonts w:ascii="仿宋_GB2312" w:eastAsia="仿宋_GB2312"/>
          <w:spacing w:val="1"/>
          <w:w w:val="95"/>
          <w:lang w:eastAsia="zh-CN"/>
        </w:rPr>
        <w:t>服</w:t>
      </w:r>
      <w:r>
        <w:rPr>
          <w:rFonts w:ascii="仿宋_GB2312" w:eastAsia="仿宋_GB2312"/>
          <w:w w:val="95"/>
          <w:lang w:eastAsia="zh-CN"/>
        </w:rPr>
        <w:t>务机</w:t>
      </w:r>
      <w:r>
        <w:rPr>
          <w:rFonts w:ascii="仿宋_GB2312" w:eastAsia="仿宋_GB2312"/>
          <w:spacing w:val="1"/>
          <w:w w:val="95"/>
          <w:lang w:eastAsia="zh-CN"/>
        </w:rPr>
        <w:t>构</w:t>
      </w:r>
      <w:r>
        <w:rPr>
          <w:rFonts w:ascii="仿宋_GB2312" w:eastAsia="仿宋_GB2312"/>
          <w:w w:val="95"/>
          <w:lang w:eastAsia="zh-CN"/>
        </w:rPr>
        <w:t>和个人</w:t>
      </w:r>
      <w:r>
        <w:rPr>
          <w:rFonts w:ascii="仿宋_GB2312" w:eastAsia="仿宋_GB2312"/>
          <w:spacing w:val="1"/>
          <w:w w:val="95"/>
          <w:lang w:eastAsia="zh-CN"/>
        </w:rPr>
        <w:t>不</w:t>
      </w:r>
      <w:r>
        <w:rPr>
          <w:rFonts w:ascii="仿宋_GB2312" w:eastAsia="仿宋_GB2312"/>
          <w:w w:val="95"/>
          <w:lang w:eastAsia="zh-CN"/>
        </w:rPr>
        <w:t>得拒</w:t>
      </w:r>
      <w:r>
        <w:rPr>
          <w:rFonts w:ascii="仿宋_GB2312" w:eastAsia="仿宋_GB2312"/>
          <w:spacing w:val="1"/>
          <w:w w:val="95"/>
          <w:lang w:eastAsia="zh-CN"/>
        </w:rPr>
        <w:t>绝</w:t>
      </w:r>
      <w:r>
        <w:rPr>
          <w:rFonts w:hint="eastAsia" w:ascii="仿宋_GB2312" w:eastAsia="仿宋_GB2312"/>
          <w:spacing w:val="1"/>
          <w:w w:val="95"/>
          <w:lang w:eastAsia="zh-CN"/>
        </w:rPr>
        <w:t>市</w:t>
      </w:r>
      <w:r>
        <w:rPr>
          <w:rFonts w:ascii="仿宋_GB2312" w:eastAsia="仿宋_GB2312"/>
          <w:w w:val="95"/>
          <w:lang w:eastAsia="zh-CN"/>
        </w:rPr>
        <w:t>自然资</w:t>
      </w:r>
      <w:r>
        <w:rPr>
          <w:rFonts w:ascii="仿宋_GB2312" w:eastAsia="仿宋_GB2312"/>
          <w:spacing w:val="1"/>
          <w:w w:val="95"/>
          <w:lang w:eastAsia="zh-CN"/>
        </w:rPr>
        <w:t>源</w:t>
      </w:r>
      <w:r>
        <w:rPr>
          <w:rFonts w:ascii="仿宋_GB2312" w:eastAsia="仿宋_GB2312"/>
          <w:w w:val="95"/>
          <w:lang w:eastAsia="zh-CN"/>
        </w:rPr>
        <w:t>主管</w:t>
      </w:r>
      <w:r>
        <w:rPr>
          <w:rFonts w:ascii="仿宋_GB2312" w:eastAsia="仿宋_GB2312"/>
          <w:spacing w:val="1"/>
          <w:w w:val="95"/>
          <w:lang w:eastAsia="zh-CN"/>
        </w:rPr>
        <w:t>部</w:t>
      </w:r>
      <w:r>
        <w:rPr>
          <w:rFonts w:ascii="仿宋_GB2312" w:eastAsia="仿宋_GB2312"/>
          <w:w w:val="95"/>
          <w:lang w:eastAsia="zh-CN"/>
        </w:rPr>
        <w:t>门</w:t>
      </w:r>
      <w:r>
        <w:rPr>
          <w:rFonts w:ascii="仿宋_GB2312" w:eastAsia="仿宋_GB2312"/>
          <w:spacing w:val="1"/>
          <w:w w:val="95"/>
          <w:lang w:eastAsia="zh-CN"/>
        </w:rPr>
        <w:t>组</w:t>
      </w:r>
      <w:r>
        <w:rPr>
          <w:rFonts w:ascii="仿宋_GB2312" w:eastAsia="仿宋_GB2312"/>
          <w:w w:val="95"/>
          <w:lang w:eastAsia="zh-CN"/>
        </w:rPr>
        <w:t>织的监</w:t>
      </w:r>
      <w:r>
        <w:rPr>
          <w:rFonts w:ascii="仿宋_GB2312" w:eastAsia="仿宋_GB2312"/>
          <w:spacing w:val="2"/>
          <w:lang w:eastAsia="zh-CN"/>
        </w:rPr>
        <w:t>督</w:t>
      </w:r>
      <w:r>
        <w:rPr>
          <w:rFonts w:ascii="仿宋_GB2312" w:eastAsia="仿宋_GB2312"/>
          <w:lang w:eastAsia="zh-CN"/>
        </w:rPr>
        <w:t>检查。</w:t>
      </w:r>
    </w:p>
    <w:p>
      <w:pPr>
        <w:pStyle w:val="4"/>
        <w:keepNext w:val="0"/>
        <w:keepLines w:val="0"/>
        <w:pageBreakBefore w:val="0"/>
        <w:widowControl/>
        <w:kinsoku/>
        <w:wordWrap/>
        <w:overflowPunct/>
        <w:bidi w:val="0"/>
        <w:adjustRightInd w:val="0"/>
        <w:snapToGrid w:val="0"/>
        <w:spacing w:line="240" w:lineRule="auto"/>
        <w:ind w:left="0" w:right="42" w:firstLine="673" w:firstLineChars="220"/>
        <w:jc w:val="both"/>
        <w:textAlignment w:val="auto"/>
        <w:rPr>
          <w:rFonts w:ascii="仿宋_GB2312" w:eastAsia="仿宋_GB2312"/>
          <w:lang w:eastAsia="zh-CN"/>
        </w:rPr>
      </w:pPr>
      <w:r>
        <w:rPr>
          <w:rFonts w:ascii="仿宋_GB2312" w:eastAsia="仿宋_GB2312"/>
          <w:spacing w:val="1"/>
          <w:w w:val="95"/>
          <w:lang w:eastAsia="zh-CN"/>
        </w:rPr>
        <w:t>“多测合一”</w:t>
      </w:r>
      <w:r>
        <w:rPr>
          <w:rFonts w:ascii="仿宋_GB2312" w:eastAsia="仿宋_GB2312"/>
          <w:w w:val="95"/>
          <w:lang w:eastAsia="zh-CN"/>
        </w:rPr>
        <w:t>成果质</w:t>
      </w:r>
      <w:r>
        <w:rPr>
          <w:rFonts w:ascii="仿宋_GB2312" w:eastAsia="仿宋_GB2312"/>
          <w:spacing w:val="1"/>
          <w:w w:val="95"/>
          <w:lang w:eastAsia="zh-CN"/>
        </w:rPr>
        <w:t>量</w:t>
      </w:r>
      <w:r>
        <w:rPr>
          <w:rFonts w:ascii="仿宋_GB2312" w:eastAsia="仿宋_GB2312"/>
          <w:w w:val="95"/>
          <w:lang w:eastAsia="zh-CN"/>
        </w:rPr>
        <w:t>认定</w:t>
      </w:r>
      <w:r>
        <w:rPr>
          <w:rFonts w:ascii="仿宋_GB2312" w:eastAsia="仿宋_GB2312"/>
          <w:spacing w:val="1"/>
          <w:w w:val="95"/>
          <w:lang w:eastAsia="zh-CN"/>
        </w:rPr>
        <w:t>为</w:t>
      </w:r>
      <w:r>
        <w:rPr>
          <w:rFonts w:ascii="仿宋_GB2312" w:eastAsia="仿宋_GB2312"/>
          <w:w w:val="95"/>
          <w:lang w:eastAsia="zh-CN"/>
        </w:rPr>
        <w:t>不合格</w:t>
      </w:r>
      <w:r>
        <w:rPr>
          <w:rFonts w:ascii="仿宋_GB2312" w:eastAsia="仿宋_GB2312"/>
          <w:spacing w:val="1"/>
          <w:w w:val="95"/>
          <w:lang w:eastAsia="zh-CN"/>
        </w:rPr>
        <w:t>的</w:t>
      </w:r>
      <w:r>
        <w:rPr>
          <w:rFonts w:ascii="仿宋_GB2312" w:eastAsia="仿宋_GB2312"/>
          <w:w w:val="95"/>
          <w:lang w:eastAsia="zh-CN"/>
        </w:rPr>
        <w:t>纳入</w:t>
      </w:r>
      <w:r>
        <w:rPr>
          <w:rFonts w:ascii="仿宋_GB2312" w:eastAsia="仿宋_GB2312"/>
          <w:spacing w:val="1"/>
          <w:w w:val="95"/>
          <w:lang w:eastAsia="zh-CN"/>
        </w:rPr>
        <w:t>测</w:t>
      </w:r>
      <w:r>
        <w:rPr>
          <w:rFonts w:ascii="仿宋_GB2312" w:eastAsia="仿宋_GB2312"/>
          <w:w w:val="95"/>
          <w:lang w:eastAsia="zh-CN"/>
        </w:rPr>
        <w:t>绘服务</w:t>
      </w:r>
      <w:r>
        <w:rPr>
          <w:rFonts w:ascii="仿宋_GB2312" w:eastAsia="仿宋_GB2312"/>
          <w:spacing w:val="1"/>
          <w:w w:val="95"/>
          <w:lang w:eastAsia="zh-CN"/>
        </w:rPr>
        <w:t>机</w:t>
      </w:r>
      <w:r>
        <w:rPr>
          <w:rFonts w:ascii="仿宋_GB2312" w:eastAsia="仿宋_GB2312"/>
          <w:w w:val="95"/>
          <w:lang w:eastAsia="zh-CN"/>
        </w:rPr>
        <w:t>构</w:t>
      </w:r>
      <w:r>
        <w:rPr>
          <w:rFonts w:ascii="仿宋_GB2312" w:eastAsia="仿宋_GB2312"/>
          <w:spacing w:val="2"/>
          <w:lang w:eastAsia="zh-CN"/>
        </w:rPr>
        <w:t>的</w:t>
      </w:r>
      <w:r>
        <w:rPr>
          <w:rFonts w:ascii="仿宋_GB2312" w:eastAsia="仿宋_GB2312"/>
          <w:lang w:eastAsia="zh-CN"/>
        </w:rPr>
        <w:t>信用</w:t>
      </w:r>
      <w:r>
        <w:rPr>
          <w:rFonts w:ascii="仿宋_GB2312" w:eastAsia="仿宋_GB2312"/>
          <w:spacing w:val="2"/>
          <w:lang w:eastAsia="zh-CN"/>
        </w:rPr>
        <w:t>档</w:t>
      </w:r>
      <w:r>
        <w:rPr>
          <w:rFonts w:ascii="仿宋_GB2312" w:eastAsia="仿宋_GB2312"/>
          <w:lang w:eastAsia="zh-CN"/>
        </w:rPr>
        <w:t>案。</w:t>
      </w:r>
    </w:p>
    <w:p>
      <w:pPr>
        <w:pStyle w:val="4"/>
        <w:keepNext w:val="0"/>
        <w:keepLines w:val="0"/>
        <w:pageBreakBefore w:val="0"/>
        <w:widowControl/>
        <w:kinsoku/>
        <w:wordWrap/>
        <w:overflowPunct/>
        <w:bidi w:val="0"/>
        <w:adjustRightInd w:val="0"/>
        <w:snapToGrid w:val="0"/>
        <w:spacing w:line="240" w:lineRule="auto"/>
        <w:ind w:left="0" w:right="42" w:firstLine="716" w:firstLineChars="220"/>
        <w:jc w:val="both"/>
        <w:textAlignment w:val="auto"/>
        <w:rPr>
          <w:rFonts w:hint="eastAsia" w:ascii="仿宋_GB2312" w:eastAsia="仿宋_GB2312"/>
          <w:color w:val="auto"/>
          <w:spacing w:val="7"/>
          <w:lang w:val="en-US" w:eastAsia="zh-CN"/>
        </w:rPr>
      </w:pPr>
      <w:r>
        <w:rPr>
          <w:rFonts w:ascii="仿宋_GB2312" w:eastAsia="仿宋_GB2312"/>
          <w:b/>
          <w:bCs/>
          <w:color w:val="auto"/>
          <w:spacing w:val="2"/>
          <w:lang w:eastAsia="zh-CN"/>
        </w:rPr>
        <w:t>第</w:t>
      </w:r>
      <w:r>
        <w:rPr>
          <w:rFonts w:hint="eastAsia" w:ascii="仿宋_GB2312" w:eastAsia="仿宋_GB2312"/>
          <w:b/>
          <w:bCs/>
          <w:color w:val="auto"/>
          <w:spacing w:val="2"/>
          <w:lang w:val="en-US" w:eastAsia="zh-CN"/>
        </w:rPr>
        <w:t>二十二</w:t>
      </w:r>
      <w:r>
        <w:rPr>
          <w:rFonts w:ascii="仿宋_GB2312" w:eastAsia="仿宋_GB2312"/>
          <w:b/>
          <w:bCs/>
          <w:color w:val="auto"/>
          <w:spacing w:val="2"/>
          <w:lang w:eastAsia="zh-CN"/>
        </w:rPr>
        <w:t>条</w:t>
      </w:r>
      <w:r>
        <w:rPr>
          <w:rFonts w:hint="eastAsia" w:ascii="仿宋_GB2312" w:eastAsia="仿宋_GB2312"/>
          <w:b/>
          <w:bCs/>
          <w:color w:val="auto"/>
          <w:spacing w:val="2"/>
          <w:lang w:val="en-US" w:eastAsia="zh-CN"/>
        </w:rPr>
        <w:t xml:space="preserve"> </w:t>
      </w:r>
      <w:r>
        <w:rPr>
          <w:rFonts w:hint="eastAsia" w:ascii="仿宋_GB2312" w:eastAsia="仿宋_GB2312"/>
          <w:color w:val="auto"/>
          <w:spacing w:val="7"/>
          <w:lang w:eastAsia="zh-CN"/>
        </w:rPr>
        <w:t>市自然资源</w:t>
      </w:r>
      <w:r>
        <w:rPr>
          <w:rFonts w:hint="eastAsia" w:ascii="仿宋_GB2312" w:eastAsia="仿宋_GB2312"/>
          <w:color w:val="auto"/>
          <w:spacing w:val="7"/>
          <w:lang w:val="en-US" w:eastAsia="zh-CN"/>
        </w:rPr>
        <w:t>局按照法律法规对“多测合一”测绘服务机构开展监督检查工作，依法查处违法违规行为。对测绘单位在“多测合一”测绘活动过程中存在违反《中华人民共和国测绘法》、《辽宁省测绘管理条例》等法律法规的行为，依法做出行政处罚，并向社会公布。</w:t>
      </w:r>
    </w:p>
    <w:p>
      <w:pPr>
        <w:pStyle w:val="4"/>
        <w:keepNext w:val="0"/>
        <w:keepLines w:val="0"/>
        <w:pageBreakBefore w:val="0"/>
        <w:widowControl/>
        <w:kinsoku/>
        <w:wordWrap/>
        <w:overflowPunct/>
        <w:bidi w:val="0"/>
        <w:adjustRightInd w:val="0"/>
        <w:snapToGrid w:val="0"/>
        <w:spacing w:line="240" w:lineRule="auto"/>
        <w:ind w:left="0" w:right="42" w:firstLine="734" w:firstLineChars="220"/>
        <w:jc w:val="both"/>
        <w:textAlignment w:val="auto"/>
        <w:rPr>
          <w:rFonts w:hint="default" w:ascii="仿宋_GB2312" w:eastAsia="仿宋_GB2312"/>
          <w:color w:val="auto"/>
          <w:spacing w:val="7"/>
          <w:lang w:val="en-US" w:eastAsia="zh-CN"/>
        </w:rPr>
      </w:pPr>
    </w:p>
    <w:p>
      <w:pPr>
        <w:pStyle w:val="4"/>
        <w:keepNext w:val="0"/>
        <w:keepLines w:val="0"/>
        <w:pageBreakBefore w:val="0"/>
        <w:widowControl/>
        <w:kinsoku/>
        <w:wordWrap/>
        <w:overflowPunct/>
        <w:bidi w:val="0"/>
        <w:adjustRightInd w:val="0"/>
        <w:snapToGrid w:val="0"/>
        <w:spacing w:line="240" w:lineRule="auto"/>
        <w:ind w:right="42"/>
        <w:jc w:val="center"/>
        <w:textAlignment w:val="auto"/>
        <w:rPr>
          <w:rFonts w:ascii="黑体" w:hAnsi="黑体" w:eastAsia="黑体"/>
          <w:spacing w:val="2"/>
          <w:lang w:eastAsia="zh-CN"/>
        </w:rPr>
      </w:pPr>
      <w:r>
        <w:rPr>
          <w:rFonts w:ascii="黑体" w:hAnsi="黑体" w:eastAsia="黑体"/>
          <w:spacing w:val="2"/>
          <w:lang w:eastAsia="zh-CN"/>
        </w:rPr>
        <w:t>第</w:t>
      </w:r>
      <w:r>
        <w:rPr>
          <w:rFonts w:hint="eastAsia" w:ascii="黑体" w:hAnsi="黑体" w:eastAsia="黑体"/>
          <w:spacing w:val="2"/>
          <w:lang w:val="en-US" w:eastAsia="zh-CN"/>
        </w:rPr>
        <w:t>五</w:t>
      </w:r>
      <w:r>
        <w:rPr>
          <w:rFonts w:ascii="黑体" w:hAnsi="黑体" w:eastAsia="黑体"/>
          <w:spacing w:val="2"/>
          <w:lang w:eastAsia="zh-CN"/>
        </w:rPr>
        <w:t>章</w:t>
      </w:r>
      <w:r>
        <w:rPr>
          <w:rFonts w:hint="eastAsia" w:ascii="黑体" w:hAnsi="黑体" w:eastAsia="黑体"/>
          <w:spacing w:val="2"/>
          <w:lang w:eastAsia="zh-CN"/>
        </w:rPr>
        <w:t xml:space="preserve"> </w:t>
      </w:r>
      <w:r>
        <w:rPr>
          <w:rFonts w:ascii="黑体" w:hAnsi="黑体" w:eastAsia="黑体"/>
          <w:spacing w:val="2"/>
          <w:lang w:eastAsia="zh-CN"/>
        </w:rPr>
        <w:t xml:space="preserve"> 附则</w:t>
      </w:r>
    </w:p>
    <w:p>
      <w:pPr>
        <w:pStyle w:val="4"/>
        <w:keepNext w:val="0"/>
        <w:keepLines w:val="0"/>
        <w:pageBreakBefore w:val="0"/>
        <w:widowControl/>
        <w:kinsoku/>
        <w:wordWrap/>
        <w:overflowPunct/>
        <w:bidi w:val="0"/>
        <w:adjustRightInd w:val="0"/>
        <w:snapToGrid w:val="0"/>
        <w:spacing w:line="240" w:lineRule="auto"/>
        <w:ind w:right="42"/>
        <w:jc w:val="center"/>
        <w:textAlignment w:val="auto"/>
        <w:rPr>
          <w:rFonts w:ascii="黑体" w:hAnsi="黑体" w:eastAsia="黑体"/>
          <w:spacing w:val="2"/>
          <w:lang w:eastAsia="zh-CN"/>
        </w:rPr>
      </w:pPr>
    </w:p>
    <w:p>
      <w:pPr>
        <w:pStyle w:val="4"/>
        <w:keepNext w:val="0"/>
        <w:keepLines w:val="0"/>
        <w:pageBreakBefore w:val="0"/>
        <w:widowControl/>
        <w:kinsoku/>
        <w:wordWrap/>
        <w:overflowPunct/>
        <w:topLinePunct w:val="0"/>
        <w:autoSpaceDE/>
        <w:autoSpaceDN/>
        <w:bidi w:val="0"/>
        <w:adjustRightInd w:val="0"/>
        <w:snapToGrid w:val="0"/>
        <w:spacing w:line="240" w:lineRule="auto"/>
        <w:ind w:left="0" w:right="0" w:firstLine="615" w:firstLineChars="200"/>
        <w:jc w:val="both"/>
        <w:textAlignment w:val="auto"/>
        <w:rPr>
          <w:rFonts w:ascii="仿宋_GB2312" w:eastAsia="仿宋_GB2312"/>
          <w:lang w:eastAsia="zh-CN"/>
        </w:rPr>
      </w:pPr>
      <w:r>
        <w:rPr>
          <w:rFonts w:ascii="仿宋_GB2312" w:eastAsia="仿宋_GB2312"/>
          <w:b/>
          <w:bCs/>
          <w:spacing w:val="1"/>
          <w:w w:val="95"/>
          <w:lang w:eastAsia="zh-CN"/>
        </w:rPr>
        <w:t>第</w:t>
      </w:r>
      <w:r>
        <w:rPr>
          <w:rFonts w:hint="eastAsia" w:ascii="仿宋_GB2312" w:eastAsia="仿宋_GB2312"/>
          <w:b/>
          <w:bCs/>
          <w:spacing w:val="1"/>
          <w:w w:val="95"/>
          <w:lang w:val="en-US" w:eastAsia="zh-CN"/>
        </w:rPr>
        <w:t>二十三</w:t>
      </w:r>
      <w:r>
        <w:rPr>
          <w:rFonts w:ascii="仿宋_GB2312" w:eastAsia="仿宋_GB2312"/>
          <w:b/>
          <w:bCs/>
          <w:spacing w:val="-12"/>
          <w:w w:val="95"/>
          <w:lang w:eastAsia="zh-CN"/>
        </w:rPr>
        <w:t>条</w:t>
      </w:r>
      <w:r>
        <w:rPr>
          <w:rFonts w:hint="eastAsia" w:ascii="仿宋_GB2312" w:eastAsia="仿宋_GB2312"/>
          <w:b/>
          <w:bCs/>
          <w:spacing w:val="-12"/>
          <w:w w:val="95"/>
          <w:lang w:eastAsia="zh-CN"/>
        </w:rPr>
        <w:t xml:space="preserve"> </w:t>
      </w:r>
      <w:r>
        <w:rPr>
          <w:rFonts w:ascii="仿宋_GB2312" w:eastAsia="仿宋_GB2312"/>
          <w:w w:val="95"/>
          <w:lang w:eastAsia="zh-CN"/>
        </w:rPr>
        <w:t>本</w:t>
      </w:r>
      <w:r>
        <w:rPr>
          <w:rFonts w:hint="eastAsia" w:ascii="仿宋_GB2312" w:eastAsia="仿宋_GB2312"/>
          <w:w w:val="95"/>
          <w:lang w:eastAsia="zh-CN"/>
        </w:rPr>
        <w:t>管理办法</w:t>
      </w:r>
      <w:r>
        <w:rPr>
          <w:rFonts w:ascii="仿宋_GB2312" w:eastAsia="仿宋_GB2312"/>
          <w:w w:val="95"/>
          <w:lang w:eastAsia="zh-CN"/>
        </w:rPr>
        <w:t>由</w:t>
      </w:r>
      <w:r>
        <w:rPr>
          <w:rFonts w:ascii="仿宋_GB2312" w:eastAsia="仿宋_GB2312"/>
          <w:spacing w:val="1"/>
          <w:w w:val="95"/>
          <w:lang w:eastAsia="zh-CN"/>
        </w:rPr>
        <w:t>市</w:t>
      </w:r>
      <w:r>
        <w:rPr>
          <w:rFonts w:ascii="仿宋_GB2312" w:eastAsia="仿宋_GB2312"/>
          <w:w w:val="95"/>
          <w:lang w:eastAsia="zh-CN"/>
        </w:rPr>
        <w:t>自然资</w:t>
      </w:r>
      <w:r>
        <w:rPr>
          <w:rFonts w:ascii="仿宋_GB2312" w:eastAsia="仿宋_GB2312"/>
          <w:spacing w:val="2"/>
          <w:w w:val="95"/>
          <w:lang w:eastAsia="zh-CN"/>
        </w:rPr>
        <w:t>源</w:t>
      </w:r>
      <w:r>
        <w:rPr>
          <w:rFonts w:ascii="仿宋_GB2312" w:eastAsia="仿宋_GB2312"/>
          <w:w w:val="95"/>
          <w:lang w:eastAsia="zh-CN"/>
        </w:rPr>
        <w:t>主管</w:t>
      </w:r>
      <w:r>
        <w:rPr>
          <w:rFonts w:ascii="仿宋_GB2312" w:eastAsia="仿宋_GB2312"/>
          <w:spacing w:val="2"/>
          <w:lang w:eastAsia="zh-CN"/>
        </w:rPr>
        <w:t>部</w:t>
      </w:r>
      <w:r>
        <w:rPr>
          <w:rFonts w:ascii="仿宋_GB2312" w:eastAsia="仿宋_GB2312"/>
          <w:spacing w:val="-1"/>
          <w:lang w:eastAsia="zh-CN"/>
        </w:rPr>
        <w:t>门</w:t>
      </w:r>
      <w:r>
        <w:rPr>
          <w:rFonts w:ascii="仿宋_GB2312" w:eastAsia="仿宋_GB2312"/>
          <w:lang w:eastAsia="zh-CN"/>
        </w:rPr>
        <w:t>负</w:t>
      </w:r>
      <w:r>
        <w:rPr>
          <w:rFonts w:ascii="仿宋_GB2312" w:eastAsia="仿宋_GB2312"/>
          <w:spacing w:val="2"/>
          <w:lang w:eastAsia="zh-CN"/>
        </w:rPr>
        <w:t>责</w:t>
      </w:r>
      <w:r>
        <w:rPr>
          <w:rFonts w:ascii="仿宋_GB2312" w:eastAsia="仿宋_GB2312"/>
          <w:lang w:eastAsia="zh-CN"/>
        </w:rPr>
        <w:t>解释。</w:t>
      </w:r>
    </w:p>
    <w:p>
      <w:pPr>
        <w:pStyle w:val="4"/>
        <w:keepNext w:val="0"/>
        <w:keepLines w:val="0"/>
        <w:pageBreakBefore w:val="0"/>
        <w:widowControl/>
        <w:kinsoku/>
        <w:wordWrap/>
        <w:overflowPunct/>
        <w:topLinePunct w:val="0"/>
        <w:autoSpaceDE/>
        <w:autoSpaceDN/>
        <w:bidi w:val="0"/>
        <w:adjustRightInd w:val="0"/>
        <w:snapToGrid w:val="0"/>
        <w:spacing w:line="240" w:lineRule="auto"/>
        <w:ind w:left="0" w:right="0" w:firstLine="611" w:firstLineChars="200"/>
        <w:jc w:val="both"/>
        <w:textAlignment w:val="auto"/>
        <w:rPr>
          <w:rFonts w:ascii="宋体" w:hAnsi="宋体"/>
          <w:color w:val="000000"/>
          <w:sz w:val="32"/>
          <w:szCs w:val="32"/>
        </w:rPr>
      </w:pPr>
      <w:r>
        <w:rPr>
          <w:rFonts w:hint="eastAsia" w:ascii="仿宋_GB2312" w:eastAsia="仿宋_GB2312"/>
          <w:b/>
          <w:bCs/>
          <w:w w:val="95"/>
          <w:lang w:val="en-US" w:eastAsia="zh-CN"/>
        </w:rPr>
        <w:t>第二十四条</w:t>
      </w:r>
      <w:r>
        <w:rPr>
          <w:rFonts w:hint="eastAsia" w:ascii="仿宋_GB2312" w:eastAsia="仿宋_GB2312"/>
          <w:w w:val="95"/>
          <w:lang w:val="en-US" w:eastAsia="zh-CN"/>
        </w:rPr>
        <w:t xml:space="preserve"> </w:t>
      </w:r>
      <w:r>
        <w:rPr>
          <w:rFonts w:hint="eastAsia" w:ascii="仿宋_GB2312" w:eastAsia="仿宋_GB2312"/>
          <w:w w:val="95"/>
          <w:lang w:eastAsia="zh-CN"/>
        </w:rPr>
        <w:t>管理办法</w:t>
      </w:r>
      <w:r>
        <w:rPr>
          <w:rFonts w:ascii="仿宋_GB2312" w:eastAsia="仿宋_GB2312"/>
          <w:w w:val="95"/>
          <w:lang w:eastAsia="zh-CN"/>
        </w:rPr>
        <w:t>自</w:t>
      </w:r>
      <w:r>
        <w:rPr>
          <w:rFonts w:ascii="仿宋_GB2312" w:eastAsia="仿宋_GB2312"/>
          <w:spacing w:val="1"/>
          <w:w w:val="95"/>
          <w:lang w:eastAsia="zh-CN"/>
        </w:rPr>
        <w:t>发</w:t>
      </w:r>
      <w:r>
        <w:rPr>
          <w:rFonts w:ascii="仿宋_GB2312" w:eastAsia="仿宋_GB2312"/>
          <w:w w:val="95"/>
          <w:lang w:eastAsia="zh-CN"/>
        </w:rPr>
        <w:t>布之日</w:t>
      </w:r>
      <w:r>
        <w:rPr>
          <w:rFonts w:ascii="仿宋_GB2312" w:eastAsia="仿宋_GB2312"/>
          <w:spacing w:val="2"/>
          <w:w w:val="95"/>
          <w:lang w:eastAsia="zh-CN"/>
        </w:rPr>
        <w:t>起</w:t>
      </w:r>
      <w:r>
        <w:rPr>
          <w:rFonts w:ascii="仿宋_GB2312" w:eastAsia="仿宋_GB2312"/>
          <w:w w:val="95"/>
          <w:lang w:eastAsia="zh-CN"/>
        </w:rPr>
        <w:t>施</w:t>
      </w:r>
      <w:r>
        <w:rPr>
          <w:rFonts w:ascii="仿宋_GB2312" w:eastAsia="仿宋_GB2312"/>
          <w:spacing w:val="1"/>
          <w:w w:val="95"/>
          <w:lang w:eastAsia="zh-CN"/>
        </w:rPr>
        <w:t>行</w:t>
      </w:r>
      <w:r>
        <w:rPr>
          <w:rFonts w:hint="eastAsia" w:ascii="仿宋_GB2312" w:eastAsia="仿宋_GB2312"/>
          <w:spacing w:val="1"/>
          <w:w w:val="95"/>
          <w:lang w:eastAsia="zh-CN"/>
        </w:rPr>
        <w:t>，</w:t>
      </w:r>
      <w:r>
        <w:rPr>
          <w:rFonts w:hint="eastAsia" w:ascii="仿宋_GB2312" w:eastAsia="仿宋_GB2312"/>
          <w:spacing w:val="1"/>
          <w:w w:val="95"/>
          <w:lang w:val="en-US" w:eastAsia="zh-CN"/>
        </w:rPr>
        <w:t>鲅鱼圈区、大石桥市、盖州市</w:t>
      </w:r>
      <w:r>
        <w:rPr>
          <w:rFonts w:hint="eastAsia" w:ascii="仿宋_GB2312" w:eastAsia="仿宋_GB2312"/>
          <w:lang w:eastAsia="zh-CN"/>
        </w:rPr>
        <w:t>可参照执行</w:t>
      </w:r>
      <w:r>
        <w:rPr>
          <w:rFonts w:ascii="仿宋_GB2312" w:eastAsia="仿宋_GB2312"/>
          <w:w w:val="95"/>
          <w:lang w:eastAsia="zh-CN"/>
        </w:rPr>
        <w:t>。</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A45F29-E3B3-40E4-8D24-01EEF87709E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24404FE1-BCA4-42E6-AF95-56BC1D1879BE}"/>
  </w:font>
  <w:font w:name="仿宋_GB2312">
    <w:panose1 w:val="02010609030101010101"/>
    <w:charset w:val="86"/>
    <w:family w:val="modern"/>
    <w:pitch w:val="default"/>
    <w:sig w:usb0="00000001" w:usb1="080E0000" w:usb2="00000000" w:usb3="00000000" w:csb0="00040000" w:csb1="00000000"/>
    <w:embedRegular r:id="rId3" w:fontKey="{50A7A9CA-9D61-409B-95C4-22B1CFC489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14</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219FE"/>
    <w:multiLevelType w:val="singleLevel"/>
    <w:tmpl w:val="837219FE"/>
    <w:lvl w:ilvl="0" w:tentative="0">
      <w:start w:val="6"/>
      <w:numFmt w:val="chineseCounting"/>
      <w:suff w:val="space"/>
      <w:lvlText w:val="第%1条"/>
      <w:lvlJc w:val="left"/>
      <w:rPr>
        <w:rFonts w:hint="eastAsia" w:ascii="仿宋_GB2312" w:hAnsi="仿宋_GB2312" w:eastAsia="仿宋_GB2312" w:cs="仿宋_GB2312"/>
        <w:b/>
        <w:bCs/>
        <w:sz w:val="32"/>
        <w:szCs w:val="32"/>
      </w:rPr>
    </w:lvl>
  </w:abstractNum>
  <w:abstractNum w:abstractNumId="1">
    <w:nsid w:val="97C10389"/>
    <w:multiLevelType w:val="singleLevel"/>
    <w:tmpl w:val="97C10389"/>
    <w:lvl w:ilvl="0" w:tentative="0">
      <w:start w:val="1"/>
      <w:numFmt w:val="chineseCounting"/>
      <w:suff w:val="space"/>
      <w:lvlText w:val="第%1条"/>
      <w:lvlJc w:val="left"/>
      <w:pPr>
        <w:ind w:left="-10"/>
      </w:pPr>
      <w:rPr>
        <w:rFonts w:hint="eastAsia"/>
        <w:b/>
        <w:bCs/>
      </w:rPr>
    </w:lvl>
  </w:abstractNum>
  <w:abstractNum w:abstractNumId="2">
    <w:nsid w:val="EC3F9FE3"/>
    <w:multiLevelType w:val="singleLevel"/>
    <w:tmpl w:val="EC3F9FE3"/>
    <w:lvl w:ilvl="0" w:tentative="0">
      <w:start w:val="2"/>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Zjk0MTdjNjM2NTU4NmVhMWM2OTMwNjgzNGJhMzYifQ=="/>
  </w:docVars>
  <w:rsids>
    <w:rsidRoot w:val="00843B4F"/>
    <w:rsid w:val="00014EE6"/>
    <w:rsid w:val="0003138E"/>
    <w:rsid w:val="00067823"/>
    <w:rsid w:val="000C7BB5"/>
    <w:rsid w:val="001614B7"/>
    <w:rsid w:val="00181637"/>
    <w:rsid w:val="00192B94"/>
    <w:rsid w:val="0023040F"/>
    <w:rsid w:val="00260923"/>
    <w:rsid w:val="002647D3"/>
    <w:rsid w:val="002F7E07"/>
    <w:rsid w:val="003A7F64"/>
    <w:rsid w:val="003D32DF"/>
    <w:rsid w:val="00464873"/>
    <w:rsid w:val="004A0B4C"/>
    <w:rsid w:val="007B2A66"/>
    <w:rsid w:val="008306D6"/>
    <w:rsid w:val="00843B4F"/>
    <w:rsid w:val="00870710"/>
    <w:rsid w:val="008A5640"/>
    <w:rsid w:val="00923F8A"/>
    <w:rsid w:val="00986265"/>
    <w:rsid w:val="009F4727"/>
    <w:rsid w:val="00B357D5"/>
    <w:rsid w:val="00B52419"/>
    <w:rsid w:val="00B6361E"/>
    <w:rsid w:val="00BA2C6C"/>
    <w:rsid w:val="00C8451E"/>
    <w:rsid w:val="00C94A0E"/>
    <w:rsid w:val="00CE2DAE"/>
    <w:rsid w:val="00E01F17"/>
    <w:rsid w:val="00F51B4B"/>
    <w:rsid w:val="00F8641B"/>
    <w:rsid w:val="04FC0FA5"/>
    <w:rsid w:val="07EE286D"/>
    <w:rsid w:val="09E81BB0"/>
    <w:rsid w:val="0EFB3F5D"/>
    <w:rsid w:val="0F4952FC"/>
    <w:rsid w:val="15576253"/>
    <w:rsid w:val="173131DC"/>
    <w:rsid w:val="1B03607B"/>
    <w:rsid w:val="225778C7"/>
    <w:rsid w:val="22701333"/>
    <w:rsid w:val="2D867720"/>
    <w:rsid w:val="3AC55669"/>
    <w:rsid w:val="3D454190"/>
    <w:rsid w:val="4CFD2DB6"/>
    <w:rsid w:val="59FA16AA"/>
    <w:rsid w:val="61825FC3"/>
    <w:rsid w:val="746C335B"/>
    <w:rsid w:val="770245AD"/>
    <w:rsid w:val="7B62365F"/>
    <w:rsid w:val="7BE3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zh-CN"/>
    </w:rPr>
  </w:style>
  <w:style w:type="paragraph" w:styleId="2">
    <w:name w:val="heading 3"/>
    <w:basedOn w:val="1"/>
    <w:next w:val="1"/>
    <w:link w:val="13"/>
    <w:qFormat/>
    <w:uiPriority w:val="0"/>
    <w:pPr>
      <w:spacing w:before="100" w:beforeAutospacing="1" w:after="100" w:afterAutospacing="1"/>
      <w:jc w:val="left"/>
      <w:outlineLvl w:val="2"/>
    </w:pPr>
    <w:rPr>
      <w:rFonts w:ascii="宋体" w:hAnsi="宋体" w:cs="宋体"/>
      <w:b/>
      <w:bCs/>
      <w:kern w:val="0"/>
      <w:sz w:val="27"/>
      <w:szCs w:val="27"/>
      <w:lang w:bidi="ar-SA"/>
    </w:rPr>
  </w:style>
  <w:style w:type="paragraph" w:styleId="3">
    <w:name w:val="heading 4"/>
    <w:basedOn w:val="1"/>
    <w:next w:val="1"/>
    <w:link w:val="17"/>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qFormat/>
    <w:uiPriority w:val="1"/>
    <w:pPr>
      <w:ind w:left="120"/>
    </w:pPr>
    <w:rPr>
      <w:rFonts w:ascii="仿宋" w:hAnsi="仿宋" w:eastAsia="仿宋"/>
      <w:sz w:val="32"/>
      <w:szCs w:val="32"/>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9"/>
    <w:qFormat/>
    <w:uiPriority w:val="0"/>
    <w:pPr>
      <w:widowControl w:val="0"/>
      <w:spacing w:beforeAutospacing="1" w:afterAutospacing="1"/>
      <w:jc w:val="left"/>
    </w:pPr>
    <w:rPr>
      <w:rFonts w:ascii="Calibri" w:hAnsi="Calibri"/>
      <w:kern w:val="0"/>
      <w:sz w:val="24"/>
      <w:szCs w:val="24"/>
      <w:lang w:bidi="ar-SA"/>
    </w:rPr>
  </w:style>
  <w:style w:type="character" w:styleId="10">
    <w:name w:val="Emphasis"/>
    <w:basedOn w:val="9"/>
    <w:qFormat/>
    <w:uiPriority w:val="20"/>
    <w:rPr>
      <w:i/>
      <w:i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0"/>
    <w:rPr>
      <w:sz w:val="18"/>
      <w:szCs w:val="18"/>
    </w:rPr>
  </w:style>
  <w:style w:type="character" w:customStyle="1" w:styleId="13">
    <w:name w:val="标题 3 Char"/>
    <w:basedOn w:val="9"/>
    <w:link w:val="2"/>
    <w:qFormat/>
    <w:uiPriority w:val="0"/>
    <w:rPr>
      <w:rFonts w:ascii="宋体" w:hAnsi="宋体" w:eastAsia="宋体" w:cs="宋体"/>
      <w:b/>
      <w:bCs/>
      <w:kern w:val="0"/>
      <w:sz w:val="27"/>
      <w:szCs w:val="27"/>
    </w:rPr>
  </w:style>
  <w:style w:type="paragraph" w:customStyle="1" w:styleId="14">
    <w:name w:val="正文 New New New New"/>
    <w:qFormat/>
    <w:uiPriority w:val="0"/>
    <w:pPr>
      <w:widowControl w:val="0"/>
      <w:jc w:val="both"/>
    </w:pPr>
    <w:rPr>
      <w:rFonts w:ascii="Calibri" w:hAnsi="Calibri" w:eastAsia="宋体" w:cs="Times New Roman"/>
      <w:kern w:val="2"/>
      <w:sz w:val="21"/>
      <w:szCs w:val="21"/>
      <w:lang w:val="en-US" w:eastAsia="zh-CN" w:bidi="zh-CN"/>
    </w:rPr>
  </w:style>
  <w:style w:type="paragraph" w:customStyle="1" w:styleId="15">
    <w:name w:val="正文 New New New New New New"/>
    <w:qFormat/>
    <w:uiPriority w:val="0"/>
    <w:pPr>
      <w:widowControl w:val="0"/>
      <w:jc w:val="both"/>
    </w:pPr>
    <w:rPr>
      <w:rFonts w:ascii="Calibri" w:hAnsi="Calibri" w:eastAsia="宋体" w:cs="Times New Roman"/>
      <w:kern w:val="2"/>
      <w:sz w:val="21"/>
      <w:szCs w:val="21"/>
      <w:lang w:val="en-US" w:eastAsia="zh-CN" w:bidi="zh-CN"/>
    </w:rPr>
  </w:style>
  <w:style w:type="paragraph" w:customStyle="1" w:styleId="16">
    <w:name w:val="正文 New New New New New New New New"/>
    <w:qFormat/>
    <w:uiPriority w:val="0"/>
    <w:pPr>
      <w:widowControl w:val="0"/>
      <w:jc w:val="both"/>
    </w:pPr>
    <w:rPr>
      <w:rFonts w:ascii="Calibri" w:hAnsi="Calibri" w:eastAsia="宋体" w:cs="Times New Roman"/>
      <w:kern w:val="2"/>
      <w:sz w:val="21"/>
      <w:szCs w:val="21"/>
      <w:lang w:val="en-US" w:eastAsia="zh-CN" w:bidi="zh-CN"/>
    </w:rPr>
  </w:style>
  <w:style w:type="character" w:customStyle="1" w:styleId="17">
    <w:name w:val="标题 4 Char"/>
    <w:link w:val="3"/>
    <w:qFormat/>
    <w:uiPriority w:val="0"/>
    <w:rPr>
      <w:rFonts w:ascii="Arial" w:hAnsi="Arial" w:eastAsia="黑体"/>
      <w:b/>
      <w:sz w:val="28"/>
    </w:rPr>
  </w:style>
  <w:style w:type="character" w:customStyle="1" w:styleId="18">
    <w:name w:val="正文文本 Char"/>
    <w:link w:val="4"/>
    <w:qFormat/>
    <w:uiPriority w:val="0"/>
    <w:rPr>
      <w:rFonts w:ascii="仿宋" w:hAnsi="仿宋" w:eastAsia="仿宋"/>
      <w:sz w:val="32"/>
      <w:szCs w:val="32"/>
    </w:rPr>
  </w:style>
  <w:style w:type="character" w:customStyle="1" w:styleId="19">
    <w:name w:val="普通(网站) Char"/>
    <w:link w:val="7"/>
    <w:qFormat/>
    <w:uiPriority w:val="0"/>
    <w:rPr>
      <w:rFonts w:ascii="Calibri" w:hAnsi="Calibri"/>
      <w:kern w:val="0"/>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3052</Words>
  <Characters>3119</Characters>
  <Lines>43</Lines>
  <Paragraphs>12</Paragraphs>
  <TotalTime>12</TotalTime>
  <ScaleCrop>false</ScaleCrop>
  <LinksUpToDate>false</LinksUpToDate>
  <CharactersWithSpaces>3144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2020-10-10T00:58:00Z</dcterms:created>
  <dc:creator>QF_PC</dc:creator>
  <cp:lastModifiedBy>陈茂乔</cp:lastModifiedBy>
  <cp:lastPrinted>2020-08-03T02:31:00Z</cp:lastPrinted>
  <dcterms:modified xsi:type="dcterms:W3CDTF">2023-09-22T10:12:13Z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1A4E2E106CDE41C7ACF2BA2F2B9353FA_13</vt:lpwstr>
  </property>
</Properties>
</file>