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2E2BD">
      <w:pPr>
        <w:pStyle w:val="2"/>
        <w:spacing w:line="264" w:lineRule="auto"/>
      </w:pPr>
    </w:p>
    <w:p w14:paraId="7CCF8330">
      <w:pPr>
        <w:jc w:val="center"/>
        <w:rPr>
          <w:rFonts w:hint="eastAsia" w:asciiTheme="majorEastAsia" w:hAnsiTheme="majorEastAsia" w:eastAsiaTheme="majorEastAsia" w:cstheme="majorEastAsia"/>
          <w:sz w:val="44"/>
          <w:szCs w:val="44"/>
          <w:lang w:val="en-US" w:eastAsia="zh-CN"/>
        </w:rPr>
      </w:pPr>
      <w:bookmarkStart w:id="0" w:name="_GoBack"/>
      <w:r>
        <w:rPr>
          <w:rFonts w:hint="eastAsia" w:asciiTheme="majorEastAsia" w:hAnsiTheme="majorEastAsia" w:eastAsiaTheme="majorEastAsia" w:cstheme="majorEastAsia"/>
          <w:sz w:val="44"/>
          <w:szCs w:val="44"/>
          <w:lang w:val="en-US" w:eastAsia="zh-CN"/>
        </w:rPr>
        <w:t>关于印发《营口市地质灾害防治方案</w:t>
      </w:r>
    </w:p>
    <w:p w14:paraId="414BDCA2">
      <w:pPr>
        <w:ind w:firstLine="640"/>
        <w:jc w:val="center"/>
        <w:rPr>
          <w:rFonts w:hint="eastAsia" w:ascii="仿宋" w:hAnsi="仿宋" w:eastAsia="仿宋" w:cs="仿宋"/>
          <w:sz w:val="32"/>
          <w:szCs w:val="32"/>
          <w:lang w:val="en-US" w:eastAsia="zh-CN"/>
        </w:rPr>
      </w:pPr>
      <w:r>
        <w:rPr>
          <w:rFonts w:hint="eastAsia" w:asciiTheme="majorEastAsia" w:hAnsiTheme="majorEastAsia" w:eastAsiaTheme="majorEastAsia" w:cstheme="majorEastAsia"/>
          <w:sz w:val="44"/>
          <w:szCs w:val="44"/>
          <w:lang w:val="en-US" w:eastAsia="zh-CN"/>
        </w:rPr>
        <w:t>（2025年度）》的通知</w:t>
      </w:r>
      <w:bookmarkEnd w:id="0"/>
    </w:p>
    <w:p w14:paraId="6134F85C">
      <w:pPr>
        <w:ind w:firstLine="640"/>
        <w:rPr>
          <w:rFonts w:hint="eastAsia" w:ascii="仿宋" w:hAnsi="仿宋" w:eastAsia="仿宋" w:cs="仿宋"/>
          <w:sz w:val="32"/>
          <w:szCs w:val="32"/>
          <w:lang w:val="en-US" w:eastAsia="zh-CN"/>
        </w:rPr>
      </w:pPr>
    </w:p>
    <w:p w14:paraId="5A8DF080">
      <w:pPr>
        <w:keepNext w:val="0"/>
        <w:keepLines w:val="0"/>
        <w:pageBreakBefore w:val="0"/>
        <w:widowControl/>
        <w:kinsoku w:val="0"/>
        <w:wordWrap/>
        <w:overflowPunct/>
        <w:topLinePunct w:val="0"/>
        <w:autoSpaceDE w:val="0"/>
        <w:autoSpaceDN w:val="0"/>
        <w:bidi w:val="0"/>
        <w:adjustRightInd w:val="0"/>
        <w:snapToGrid w:val="0"/>
        <w:spacing w:line="620" w:lineRule="exact"/>
        <w:ind w:firstLine="640"/>
        <w:textAlignment w:val="baseline"/>
        <w:rPr>
          <w:rFonts w:hint="eastAsia" w:ascii="仿宋" w:hAnsi="仿宋" w:eastAsia="仿宋" w:cs="仿宋"/>
          <w:sz w:val="32"/>
          <w:szCs w:val="32"/>
          <w:lang w:val="en-US" w:eastAsia="zh-CN"/>
        </w:rPr>
      </w:pPr>
    </w:p>
    <w:p w14:paraId="4B4A06D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各县（市）、区人民政府，市直各相关单位：</w:t>
      </w:r>
    </w:p>
    <w:p w14:paraId="59D4ABB1">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为切实做好全市2025年地质灾害防治工作，根据《地质灾害防治条例》（国务院令第394号）规定，经营口市政府同意，现将《营口市地质灾害防治方案（2025年度）》印发给你们，请认真贯彻执行。</w:t>
      </w:r>
    </w:p>
    <w:p w14:paraId="1881455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both"/>
        <w:textAlignment w:val="baseline"/>
        <w:rPr>
          <w:rFonts w:hint="eastAsia" w:ascii="仿宋" w:hAnsi="仿宋" w:eastAsia="仿宋" w:cs="仿宋"/>
          <w:sz w:val="32"/>
          <w:szCs w:val="32"/>
          <w:lang w:val="en-US" w:eastAsia="zh-CN"/>
        </w:rPr>
      </w:pPr>
    </w:p>
    <w:p w14:paraId="462A894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both"/>
        <w:textAlignment w:val="baseline"/>
        <w:rPr>
          <w:rFonts w:hint="eastAsia" w:ascii="仿宋" w:hAnsi="仿宋" w:eastAsia="仿宋" w:cs="仿宋"/>
          <w:sz w:val="32"/>
          <w:szCs w:val="32"/>
          <w:lang w:val="en-US" w:eastAsia="zh-CN"/>
        </w:rPr>
      </w:pPr>
    </w:p>
    <w:p w14:paraId="35615F6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both"/>
        <w:textAlignment w:val="baseline"/>
        <w:rPr>
          <w:rFonts w:hint="eastAsia" w:ascii="仿宋" w:hAnsi="仿宋" w:eastAsia="仿宋" w:cs="仿宋"/>
          <w:sz w:val="32"/>
          <w:szCs w:val="32"/>
          <w:lang w:val="en-US" w:eastAsia="zh-CN"/>
        </w:rPr>
      </w:pPr>
    </w:p>
    <w:p w14:paraId="4448E75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both"/>
        <w:textAlignment w:val="baseline"/>
        <w:rPr>
          <w:rFonts w:hint="eastAsia" w:ascii="仿宋" w:hAnsi="仿宋" w:eastAsia="仿宋" w:cs="仿宋"/>
          <w:sz w:val="32"/>
          <w:szCs w:val="32"/>
          <w:lang w:val="en-US" w:eastAsia="zh-CN"/>
        </w:rPr>
      </w:pPr>
    </w:p>
    <w:p w14:paraId="1895EF6B">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both"/>
        <w:textAlignment w:val="baseline"/>
        <w:rPr>
          <w:rFonts w:hint="eastAsia" w:ascii="仿宋" w:hAnsi="仿宋" w:eastAsia="仿宋" w:cs="仿宋"/>
          <w:sz w:val="32"/>
          <w:szCs w:val="32"/>
          <w:lang w:val="en-US" w:eastAsia="zh-CN"/>
        </w:rPr>
      </w:pPr>
    </w:p>
    <w:p w14:paraId="04F0FE01">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both"/>
        <w:textAlignment w:val="baseline"/>
        <w:rPr>
          <w:rFonts w:hint="eastAsia" w:ascii="仿宋" w:hAnsi="仿宋" w:eastAsia="仿宋" w:cs="仿宋"/>
          <w:sz w:val="32"/>
          <w:szCs w:val="32"/>
          <w:lang w:val="en-US" w:eastAsia="zh-CN"/>
        </w:rPr>
      </w:pPr>
    </w:p>
    <w:p w14:paraId="00B4F5C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both"/>
        <w:textAlignment w:val="baseline"/>
        <w:rPr>
          <w:rFonts w:hint="eastAsia" w:ascii="仿宋" w:hAnsi="仿宋" w:eastAsia="仿宋" w:cs="仿宋"/>
          <w:sz w:val="32"/>
          <w:szCs w:val="32"/>
          <w:lang w:val="en-US" w:eastAsia="zh-CN"/>
        </w:rPr>
      </w:pPr>
    </w:p>
    <w:p w14:paraId="3E0F278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营口市自然资源局</w:t>
      </w:r>
    </w:p>
    <w:p w14:paraId="0D60AEC5">
      <w:pPr>
        <w:pStyle w:val="2"/>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sz w:val="32"/>
          <w:szCs w:val="32"/>
        </w:rPr>
        <w:sectPr>
          <w:headerReference r:id="rId5" w:type="default"/>
          <w:footerReference r:id="rId6" w:type="default"/>
          <w:pgSz w:w="11906" w:h="16839"/>
          <w:pgMar w:top="1431" w:right="1785" w:bottom="0" w:left="1785" w:header="0" w:footer="0" w:gutter="0"/>
          <w:pgNumType w:fmt="decimal"/>
          <w:cols w:space="720" w:num="1"/>
        </w:sectPr>
      </w:pPr>
      <w:r>
        <w:rPr>
          <w:rFonts w:hint="eastAsia" w:ascii="仿宋" w:hAnsi="仿宋" w:eastAsia="仿宋" w:cs="仿宋"/>
          <w:sz w:val="32"/>
          <w:szCs w:val="32"/>
          <w:lang w:val="en-US" w:eastAsia="zh-CN"/>
        </w:rPr>
        <w:t xml:space="preserve">                                 2025年7月14日</w:t>
      </w:r>
    </w:p>
    <w:p w14:paraId="0B6B3ACE">
      <w:pPr>
        <w:pStyle w:val="2"/>
        <w:spacing w:line="264" w:lineRule="auto"/>
      </w:pPr>
    </w:p>
    <w:p w14:paraId="60D3377D">
      <w:pPr>
        <w:pStyle w:val="2"/>
        <w:spacing w:line="264" w:lineRule="auto"/>
      </w:pPr>
    </w:p>
    <w:p w14:paraId="6BFDC3F6">
      <w:pPr>
        <w:pStyle w:val="2"/>
        <w:spacing w:line="264" w:lineRule="auto"/>
      </w:pPr>
    </w:p>
    <w:p w14:paraId="57F64D56">
      <w:pPr>
        <w:pStyle w:val="2"/>
        <w:spacing w:line="264" w:lineRule="auto"/>
      </w:pPr>
    </w:p>
    <w:p w14:paraId="78C39771">
      <w:pPr>
        <w:pStyle w:val="2"/>
        <w:spacing w:line="265" w:lineRule="auto"/>
      </w:pPr>
    </w:p>
    <w:p w14:paraId="2EEC5665">
      <w:pPr>
        <w:pStyle w:val="2"/>
        <w:spacing w:line="265" w:lineRule="auto"/>
      </w:pPr>
    </w:p>
    <w:p w14:paraId="6297913F">
      <w:pPr>
        <w:pStyle w:val="2"/>
        <w:spacing w:line="265" w:lineRule="auto"/>
        <w:rPr>
          <w:sz w:val="44"/>
          <w:szCs w:val="44"/>
        </w:rPr>
      </w:pPr>
    </w:p>
    <w:p w14:paraId="393B9052">
      <w:pPr>
        <w:spacing w:before="140" w:line="576" w:lineRule="exact"/>
        <w:ind w:left="435"/>
        <w:outlineLvl w:val="0"/>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b/>
          <w:bCs/>
          <w:spacing w:val="5"/>
          <w:position w:val="2"/>
          <w:sz w:val="44"/>
          <w:szCs w:val="44"/>
          <w:lang w:val="en-US" w:eastAsia="zh-CN"/>
        </w:rPr>
        <w:t>营口市</w:t>
      </w:r>
      <w:r>
        <w:rPr>
          <w:rFonts w:hint="eastAsia" w:asciiTheme="minorEastAsia" w:hAnsiTheme="minorEastAsia" w:eastAsiaTheme="minorEastAsia" w:cstheme="minorEastAsia"/>
          <w:b/>
          <w:bCs/>
          <w:spacing w:val="5"/>
          <w:position w:val="2"/>
          <w:sz w:val="44"/>
          <w:szCs w:val="44"/>
        </w:rPr>
        <w:t>地质灾害防治方案（</w:t>
      </w:r>
      <w:r>
        <w:rPr>
          <w:rFonts w:hint="eastAsia" w:asciiTheme="minorEastAsia" w:hAnsiTheme="minorEastAsia" w:eastAsiaTheme="minorEastAsia" w:cstheme="minorEastAsia"/>
          <w:spacing w:val="5"/>
          <w:position w:val="2"/>
          <w:sz w:val="44"/>
          <w:szCs w:val="44"/>
        </w:rPr>
        <w:t>2025</w:t>
      </w:r>
      <w:r>
        <w:rPr>
          <w:rFonts w:hint="eastAsia" w:asciiTheme="minorEastAsia" w:hAnsiTheme="minorEastAsia" w:eastAsiaTheme="minorEastAsia" w:cstheme="minorEastAsia"/>
          <w:b/>
          <w:bCs/>
          <w:spacing w:val="5"/>
          <w:position w:val="2"/>
          <w:sz w:val="44"/>
          <w:szCs w:val="44"/>
        </w:rPr>
        <w:t>年度）</w:t>
      </w:r>
    </w:p>
    <w:p w14:paraId="3D21716F">
      <w:pPr>
        <w:pStyle w:val="2"/>
        <w:spacing w:line="245" w:lineRule="auto"/>
        <w:rPr>
          <w:rFonts w:hint="default" w:ascii="楷体" w:hAnsi="楷体" w:eastAsia="楷体" w:cs="楷体"/>
          <w:snapToGrid w:val="0"/>
          <w:color w:val="000000"/>
          <w:kern w:val="0"/>
          <w:sz w:val="32"/>
          <w:szCs w:val="32"/>
          <w:lang w:val="en-US" w:eastAsia="zh-CN" w:bidi="ar-SA"/>
        </w:rPr>
      </w:pPr>
      <w:r>
        <w:rPr>
          <w:rFonts w:hint="eastAsia" w:eastAsia="宋体"/>
          <w:lang w:val="en-US" w:eastAsia="zh-CN"/>
        </w:rPr>
        <w:t xml:space="preserve">                                                             </w:t>
      </w:r>
    </w:p>
    <w:p w14:paraId="6BB71302">
      <w:pPr>
        <w:pStyle w:val="2"/>
        <w:spacing w:line="245"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SA"/>
        </w:rPr>
        <w:t xml:space="preserve">  </w:t>
      </w:r>
    </w:p>
    <w:p w14:paraId="2EBF9FE7">
      <w:pPr>
        <w:pStyle w:val="2"/>
        <w:spacing w:line="245" w:lineRule="auto"/>
      </w:pPr>
    </w:p>
    <w:p w14:paraId="264D98F1">
      <w:pPr>
        <w:pStyle w:val="2"/>
        <w:spacing w:line="245" w:lineRule="auto"/>
      </w:pPr>
    </w:p>
    <w:p w14:paraId="090C70C1">
      <w:pPr>
        <w:pStyle w:val="2"/>
        <w:spacing w:line="245" w:lineRule="auto"/>
      </w:pPr>
    </w:p>
    <w:p w14:paraId="6B2FCCAB">
      <w:pPr>
        <w:pStyle w:val="2"/>
        <w:spacing w:line="245" w:lineRule="auto"/>
      </w:pPr>
    </w:p>
    <w:p w14:paraId="17FA8439">
      <w:pPr>
        <w:pStyle w:val="2"/>
        <w:spacing w:line="245" w:lineRule="auto"/>
      </w:pPr>
    </w:p>
    <w:p w14:paraId="0870E98D">
      <w:pPr>
        <w:pStyle w:val="2"/>
        <w:spacing w:line="245" w:lineRule="auto"/>
      </w:pPr>
    </w:p>
    <w:p w14:paraId="46D92098">
      <w:pPr>
        <w:pStyle w:val="2"/>
        <w:spacing w:line="245" w:lineRule="auto"/>
      </w:pPr>
    </w:p>
    <w:p w14:paraId="50EDD73B">
      <w:pPr>
        <w:pStyle w:val="2"/>
        <w:spacing w:line="245" w:lineRule="auto"/>
      </w:pPr>
    </w:p>
    <w:p w14:paraId="1FEDCEAB">
      <w:pPr>
        <w:pStyle w:val="2"/>
        <w:spacing w:line="245" w:lineRule="auto"/>
      </w:pPr>
    </w:p>
    <w:p w14:paraId="443B37F4">
      <w:pPr>
        <w:pStyle w:val="2"/>
        <w:spacing w:line="245" w:lineRule="auto"/>
      </w:pPr>
    </w:p>
    <w:p w14:paraId="212587C7">
      <w:pPr>
        <w:pStyle w:val="2"/>
        <w:spacing w:line="245" w:lineRule="auto"/>
      </w:pPr>
    </w:p>
    <w:p w14:paraId="3BE8DAAF">
      <w:pPr>
        <w:pStyle w:val="2"/>
        <w:spacing w:line="245" w:lineRule="auto"/>
      </w:pPr>
    </w:p>
    <w:p w14:paraId="5CD5ACB2">
      <w:pPr>
        <w:pStyle w:val="2"/>
        <w:spacing w:line="245" w:lineRule="auto"/>
      </w:pPr>
    </w:p>
    <w:p w14:paraId="78B7A04C">
      <w:pPr>
        <w:pStyle w:val="2"/>
        <w:spacing w:line="245" w:lineRule="auto"/>
      </w:pPr>
    </w:p>
    <w:p w14:paraId="49537761">
      <w:pPr>
        <w:pStyle w:val="2"/>
        <w:spacing w:line="245" w:lineRule="auto"/>
      </w:pPr>
    </w:p>
    <w:p w14:paraId="1105507F">
      <w:pPr>
        <w:pStyle w:val="2"/>
        <w:spacing w:line="245" w:lineRule="auto"/>
      </w:pPr>
    </w:p>
    <w:p w14:paraId="02A54B90">
      <w:pPr>
        <w:pStyle w:val="2"/>
        <w:spacing w:line="245" w:lineRule="auto"/>
      </w:pPr>
    </w:p>
    <w:p w14:paraId="58F04B29">
      <w:pPr>
        <w:pStyle w:val="2"/>
        <w:spacing w:line="245" w:lineRule="auto"/>
      </w:pPr>
    </w:p>
    <w:p w14:paraId="4C94A185">
      <w:pPr>
        <w:pStyle w:val="2"/>
        <w:spacing w:line="245" w:lineRule="auto"/>
      </w:pPr>
    </w:p>
    <w:p w14:paraId="4C5D45E5">
      <w:pPr>
        <w:pStyle w:val="2"/>
        <w:spacing w:line="245" w:lineRule="auto"/>
      </w:pPr>
    </w:p>
    <w:p w14:paraId="42DEEA1A">
      <w:pPr>
        <w:pStyle w:val="2"/>
        <w:spacing w:line="246" w:lineRule="auto"/>
      </w:pPr>
    </w:p>
    <w:p w14:paraId="3F6B95F9">
      <w:pPr>
        <w:pStyle w:val="2"/>
        <w:spacing w:line="246" w:lineRule="auto"/>
      </w:pPr>
    </w:p>
    <w:p w14:paraId="20B58973">
      <w:pPr>
        <w:pStyle w:val="2"/>
        <w:spacing w:line="246" w:lineRule="auto"/>
      </w:pPr>
    </w:p>
    <w:p w14:paraId="2D2D4B17">
      <w:pPr>
        <w:pStyle w:val="2"/>
        <w:spacing w:line="246" w:lineRule="auto"/>
      </w:pPr>
    </w:p>
    <w:p w14:paraId="45DE62E4">
      <w:pPr>
        <w:pStyle w:val="2"/>
        <w:spacing w:line="246" w:lineRule="auto"/>
      </w:pPr>
    </w:p>
    <w:p w14:paraId="41E43E00">
      <w:pPr>
        <w:pStyle w:val="2"/>
        <w:spacing w:line="246" w:lineRule="auto"/>
      </w:pPr>
    </w:p>
    <w:p w14:paraId="413A4982">
      <w:pPr>
        <w:pStyle w:val="2"/>
        <w:spacing w:line="246" w:lineRule="auto"/>
      </w:pPr>
    </w:p>
    <w:p w14:paraId="2EA26ECC">
      <w:pPr>
        <w:pStyle w:val="2"/>
        <w:spacing w:line="246" w:lineRule="auto"/>
      </w:pPr>
    </w:p>
    <w:p w14:paraId="39298B21">
      <w:pPr>
        <w:pStyle w:val="2"/>
        <w:spacing w:line="246" w:lineRule="auto"/>
      </w:pPr>
    </w:p>
    <w:p w14:paraId="700B0BD9">
      <w:pPr>
        <w:pStyle w:val="2"/>
        <w:spacing w:line="246" w:lineRule="auto"/>
      </w:pPr>
    </w:p>
    <w:p w14:paraId="7162CEA1">
      <w:pPr>
        <w:pStyle w:val="2"/>
        <w:spacing w:line="246" w:lineRule="auto"/>
      </w:pPr>
    </w:p>
    <w:p w14:paraId="6E4ED714">
      <w:pPr>
        <w:pStyle w:val="2"/>
        <w:spacing w:line="246" w:lineRule="auto"/>
      </w:pPr>
    </w:p>
    <w:p w14:paraId="0ED5FECE">
      <w:pPr>
        <w:pStyle w:val="2"/>
        <w:spacing w:line="246" w:lineRule="auto"/>
      </w:pPr>
    </w:p>
    <w:p w14:paraId="732DE648">
      <w:pPr>
        <w:spacing w:before="133" w:line="205" w:lineRule="auto"/>
        <w:ind w:left="295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营口市自然资源局</w:t>
      </w:r>
    </w:p>
    <w:p w14:paraId="29169BCF">
      <w:pPr>
        <w:spacing w:before="180" w:line="205" w:lineRule="auto"/>
        <w:ind w:left="3110"/>
        <w:rPr>
          <w:rFonts w:ascii="微软雅黑" w:hAnsi="微软雅黑" w:eastAsia="微软雅黑" w:cs="微软雅黑"/>
          <w:sz w:val="31"/>
          <w:szCs w:val="31"/>
        </w:rPr>
      </w:pPr>
      <w:r>
        <w:rPr>
          <w:rFonts w:hint="eastAsia" w:ascii="楷体" w:hAnsi="楷体" w:eastAsia="楷体" w:cs="楷体"/>
          <w:spacing w:val="8"/>
          <w:sz w:val="32"/>
          <w:szCs w:val="32"/>
        </w:rPr>
        <w:t>二〇二五年</w:t>
      </w:r>
      <w:r>
        <w:rPr>
          <w:rFonts w:hint="eastAsia" w:ascii="楷体" w:hAnsi="楷体" w:eastAsia="楷体" w:cs="楷体"/>
          <w:spacing w:val="8"/>
          <w:sz w:val="32"/>
          <w:szCs w:val="32"/>
          <w:lang w:val="en-US" w:eastAsia="zh-CN"/>
        </w:rPr>
        <w:t>七</w:t>
      </w:r>
      <w:r>
        <w:rPr>
          <w:rFonts w:hint="eastAsia" w:ascii="楷体" w:hAnsi="楷体" w:eastAsia="楷体" w:cs="楷体"/>
          <w:spacing w:val="8"/>
          <w:sz w:val="32"/>
          <w:szCs w:val="32"/>
        </w:rPr>
        <w:t>月</w:t>
      </w:r>
    </w:p>
    <w:p w14:paraId="43D915A7">
      <w:pPr>
        <w:spacing w:line="205" w:lineRule="auto"/>
        <w:rPr>
          <w:rFonts w:ascii="微软雅黑" w:hAnsi="微软雅黑" w:eastAsia="微软雅黑" w:cs="微软雅黑"/>
          <w:sz w:val="31"/>
          <w:szCs w:val="31"/>
        </w:rPr>
        <w:sectPr>
          <w:pgSz w:w="11906" w:h="16839"/>
          <w:pgMar w:top="1431" w:right="1785" w:bottom="0" w:left="1785" w:header="0" w:footer="0" w:gutter="0"/>
          <w:pgNumType w:fmt="decimal"/>
          <w:cols w:space="720" w:num="1"/>
        </w:sectPr>
      </w:pPr>
    </w:p>
    <w:p w14:paraId="43BF369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8"/>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为深入贯彻习近平总书记关于防灾减灾救灾重要论述和指</w:t>
      </w:r>
      <w:r>
        <w:rPr>
          <w:rFonts w:hint="eastAsia" w:ascii="仿宋_GB2312" w:hAnsi="仿宋_GB2312" w:eastAsia="仿宋_GB2312" w:cs="仿宋_GB2312"/>
          <w:sz w:val="32"/>
          <w:szCs w:val="32"/>
        </w:rPr>
        <w:t>示批示精神，全面贯彻党中央、国务院决策部署，认真落实省委、</w:t>
      </w:r>
      <w:r>
        <w:rPr>
          <w:rFonts w:hint="eastAsia" w:ascii="仿宋_GB2312" w:hAnsi="仿宋_GB2312" w:eastAsia="仿宋_GB2312" w:cs="仿宋_GB2312"/>
          <w:spacing w:val="5"/>
          <w:sz w:val="32"/>
          <w:szCs w:val="32"/>
        </w:rPr>
        <w:t>省政府</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市委、市政府</w:t>
      </w:r>
      <w:r>
        <w:rPr>
          <w:rFonts w:hint="eastAsia" w:ascii="仿宋_GB2312" w:hAnsi="仿宋_GB2312" w:eastAsia="仿宋_GB2312" w:cs="仿宋_GB2312"/>
          <w:spacing w:val="5"/>
          <w:sz w:val="32"/>
          <w:szCs w:val="32"/>
        </w:rPr>
        <w:t>工作要求，加强我</w:t>
      </w:r>
      <w:r>
        <w:rPr>
          <w:rFonts w:hint="eastAsia" w:ascii="仿宋_GB2312" w:hAnsi="仿宋_GB2312" w:eastAsia="仿宋_GB2312" w:cs="仿宋_GB2312"/>
          <w:spacing w:val="5"/>
          <w:sz w:val="32"/>
          <w:szCs w:val="32"/>
          <w:lang w:val="en-US" w:eastAsia="zh-CN"/>
        </w:rPr>
        <w:t>市</w:t>
      </w:r>
      <w:r>
        <w:rPr>
          <w:rFonts w:hint="eastAsia" w:ascii="仿宋_GB2312" w:hAnsi="仿宋_GB2312" w:eastAsia="仿宋_GB2312" w:cs="仿宋_GB2312"/>
          <w:spacing w:val="5"/>
          <w:sz w:val="32"/>
          <w:szCs w:val="32"/>
        </w:rPr>
        <w:t>地质灾害综合防治能力，全力保障人</w:t>
      </w:r>
      <w:r>
        <w:rPr>
          <w:rFonts w:hint="eastAsia" w:ascii="仿宋_GB2312" w:hAnsi="仿宋_GB2312" w:eastAsia="仿宋_GB2312" w:cs="仿宋_GB2312"/>
          <w:spacing w:val="10"/>
          <w:sz w:val="32"/>
          <w:szCs w:val="32"/>
        </w:rPr>
        <w:t>民群众生命财产安全，扎实做好2025年度全</w:t>
      </w:r>
      <w:r>
        <w:rPr>
          <w:rFonts w:hint="eastAsia" w:ascii="仿宋_GB2312" w:hAnsi="仿宋_GB2312" w:eastAsia="仿宋_GB2312" w:cs="仿宋_GB2312"/>
          <w:spacing w:val="10"/>
          <w:sz w:val="32"/>
          <w:szCs w:val="32"/>
          <w:lang w:val="en-US" w:eastAsia="zh-CN"/>
        </w:rPr>
        <w:t>市</w:t>
      </w:r>
      <w:r>
        <w:rPr>
          <w:rFonts w:hint="eastAsia" w:ascii="仿宋_GB2312" w:hAnsi="仿宋_GB2312" w:eastAsia="仿宋_GB2312" w:cs="仿宋_GB2312"/>
          <w:spacing w:val="10"/>
          <w:sz w:val="32"/>
          <w:szCs w:val="32"/>
        </w:rPr>
        <w:t>地质灾害防治工</w:t>
      </w:r>
      <w:r>
        <w:rPr>
          <w:rFonts w:hint="eastAsia" w:ascii="仿宋_GB2312" w:hAnsi="仿宋_GB2312" w:eastAsia="仿宋_GB2312" w:cs="仿宋_GB2312"/>
          <w:sz w:val="32"/>
          <w:szCs w:val="32"/>
        </w:rPr>
        <w:t>作，根据《地质灾害防治条例》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辽宁省突发地质灾害应急预案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营口市</w:t>
      </w:r>
      <w:r>
        <w:rPr>
          <w:rFonts w:hint="eastAsia" w:ascii="仿宋_GB2312" w:hAnsi="仿宋_GB2312" w:eastAsia="仿宋_GB2312" w:cs="仿宋_GB2312"/>
          <w:sz w:val="32"/>
          <w:szCs w:val="32"/>
        </w:rPr>
        <w:t>突发地质灾害应急预案》</w:t>
      </w:r>
      <w:r>
        <w:rPr>
          <w:rFonts w:hint="eastAsia" w:ascii="仿宋_GB2312" w:hAnsi="仿宋_GB2312" w:eastAsia="仿宋_GB2312" w:cs="仿宋_GB2312"/>
          <w:spacing w:val="7"/>
          <w:sz w:val="32"/>
          <w:szCs w:val="32"/>
        </w:rPr>
        <w:t>等</w:t>
      </w:r>
      <w:r>
        <w:rPr>
          <w:rFonts w:hint="eastAsia" w:ascii="仿宋_GB2312" w:hAnsi="仿宋_GB2312" w:eastAsia="仿宋_GB2312" w:cs="仿宋_GB2312"/>
          <w:spacing w:val="6"/>
          <w:sz w:val="32"/>
          <w:szCs w:val="32"/>
        </w:rPr>
        <w:t>规定和要求，结合我</w:t>
      </w:r>
      <w:r>
        <w:rPr>
          <w:rFonts w:hint="eastAsia" w:ascii="仿宋_GB2312" w:hAnsi="仿宋_GB2312" w:eastAsia="仿宋_GB2312" w:cs="仿宋_GB2312"/>
          <w:spacing w:val="6"/>
          <w:sz w:val="32"/>
          <w:szCs w:val="32"/>
          <w:lang w:val="en-US" w:eastAsia="zh-CN"/>
        </w:rPr>
        <w:t>市</w:t>
      </w:r>
      <w:r>
        <w:rPr>
          <w:rFonts w:hint="eastAsia" w:ascii="仿宋_GB2312" w:hAnsi="仿宋_GB2312" w:eastAsia="仿宋_GB2312" w:cs="仿宋_GB2312"/>
          <w:spacing w:val="8"/>
          <w:sz w:val="32"/>
          <w:szCs w:val="32"/>
        </w:rPr>
        <w:t>实际，制订本方案。</w:t>
      </w:r>
    </w:p>
    <w:p w14:paraId="10FBFBA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72" w:firstLineChars="200"/>
        <w:textAlignment w:val="baseline"/>
        <w:outlineLvl w:val="1"/>
        <w:rPr>
          <w:rFonts w:ascii="黑体" w:hAnsi="黑体" w:eastAsia="黑体" w:cs="黑体"/>
          <w:sz w:val="32"/>
          <w:szCs w:val="32"/>
        </w:rPr>
      </w:pPr>
      <w:r>
        <w:rPr>
          <w:rFonts w:ascii="黑体" w:hAnsi="黑体" w:eastAsia="黑体" w:cs="黑体"/>
          <w:spacing w:val="8"/>
          <w:sz w:val="32"/>
          <w:szCs w:val="32"/>
        </w:rPr>
        <w:t>一、全</w:t>
      </w:r>
      <w:r>
        <w:rPr>
          <w:rFonts w:hint="eastAsia" w:ascii="黑体" w:hAnsi="黑体" w:eastAsia="黑体" w:cs="黑体"/>
          <w:spacing w:val="8"/>
          <w:sz w:val="32"/>
          <w:szCs w:val="32"/>
          <w:lang w:val="en-US" w:eastAsia="zh-CN"/>
        </w:rPr>
        <w:t>市</w:t>
      </w:r>
      <w:r>
        <w:rPr>
          <w:rFonts w:ascii="黑体" w:hAnsi="黑体" w:eastAsia="黑体" w:cs="黑体"/>
          <w:spacing w:val="8"/>
          <w:sz w:val="32"/>
          <w:szCs w:val="32"/>
        </w:rPr>
        <w:t>地质灾害概况</w:t>
      </w:r>
    </w:p>
    <w:p w14:paraId="2EDA422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6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我</w:t>
      </w:r>
      <w:r>
        <w:rPr>
          <w:rFonts w:hint="eastAsia" w:ascii="仿宋_GB2312" w:hAnsi="仿宋_GB2312" w:eastAsia="仿宋_GB2312" w:cs="仿宋_GB2312"/>
          <w:spacing w:val="-1"/>
          <w:sz w:val="32"/>
          <w:szCs w:val="32"/>
          <w:lang w:val="en-US" w:eastAsia="zh-CN"/>
        </w:rPr>
        <w:t>市</w:t>
      </w:r>
      <w:r>
        <w:rPr>
          <w:rFonts w:hint="eastAsia" w:ascii="仿宋_GB2312" w:hAnsi="仿宋_GB2312" w:eastAsia="仿宋_GB2312" w:cs="仿宋_GB2312"/>
          <w:spacing w:val="-1"/>
          <w:sz w:val="32"/>
          <w:szCs w:val="32"/>
        </w:rPr>
        <w:t>现有地质灾害隐患点</w:t>
      </w:r>
      <w:r>
        <w:rPr>
          <w:rFonts w:hint="eastAsia" w:ascii="仿宋_GB2312" w:hAnsi="仿宋_GB2312" w:eastAsia="仿宋_GB2312" w:cs="仿宋_GB2312"/>
          <w:spacing w:val="-26"/>
          <w:sz w:val="32"/>
          <w:szCs w:val="32"/>
          <w:lang w:val="en-US" w:eastAsia="zh-CN"/>
        </w:rPr>
        <w:t>171</w:t>
      </w:r>
      <w:r>
        <w:rPr>
          <w:rFonts w:hint="eastAsia" w:ascii="仿宋_GB2312" w:hAnsi="仿宋_GB2312" w:eastAsia="仿宋_GB2312" w:cs="仿宋_GB2312"/>
          <w:spacing w:val="-1"/>
          <w:sz w:val="32"/>
          <w:szCs w:val="32"/>
        </w:rPr>
        <w:t>处。主要类型为</w:t>
      </w:r>
      <w:r>
        <w:rPr>
          <w:rFonts w:hint="eastAsia" w:ascii="仿宋_GB2312" w:hAnsi="仿宋_GB2312" w:eastAsia="仿宋_GB2312" w:cs="仿宋_GB2312"/>
          <w:sz w:val="32"/>
          <w:szCs w:val="32"/>
        </w:rPr>
        <w:t>泥石流、崩塌、滑坡、地面塌陷</w:t>
      </w:r>
      <w:r>
        <w:rPr>
          <w:rFonts w:hint="eastAsia" w:ascii="仿宋_GB2312" w:hAnsi="仿宋_GB2312" w:eastAsia="仿宋_GB2312" w:cs="仿宋_GB2312"/>
          <w:spacing w:val="7"/>
          <w:sz w:val="32"/>
          <w:szCs w:val="32"/>
        </w:rPr>
        <w:t>，威胁群众</w:t>
      </w:r>
      <w:r>
        <w:rPr>
          <w:rFonts w:hint="eastAsia" w:ascii="仿宋_GB2312" w:hAnsi="仿宋_GB2312" w:eastAsia="仿宋_GB2312" w:cs="仿宋_GB2312"/>
          <w:sz w:val="32"/>
          <w:szCs w:val="32"/>
          <w:highlight w:val="none"/>
          <w:lang w:val="en-US" w:eastAsia="zh-CN"/>
        </w:rPr>
        <w:t>3872</w:t>
      </w:r>
      <w:r>
        <w:rPr>
          <w:rFonts w:hint="eastAsia" w:ascii="仿宋_GB2312" w:hAnsi="仿宋_GB2312" w:eastAsia="仿宋_GB2312" w:cs="仿宋_GB2312"/>
          <w:spacing w:val="7"/>
          <w:sz w:val="32"/>
          <w:szCs w:val="32"/>
        </w:rPr>
        <w:t>人，威胁财产</w:t>
      </w:r>
      <w:r>
        <w:rPr>
          <w:rFonts w:hint="eastAsia" w:ascii="仿宋_GB2312" w:hAnsi="仿宋_GB2312" w:eastAsia="仿宋_GB2312" w:cs="仿宋_GB2312"/>
          <w:spacing w:val="7"/>
          <w:sz w:val="32"/>
          <w:szCs w:val="32"/>
          <w:lang w:val="en-US" w:eastAsia="zh-CN"/>
        </w:rPr>
        <w:t>1.8</w:t>
      </w:r>
      <w:r>
        <w:rPr>
          <w:rFonts w:hint="eastAsia" w:ascii="仿宋_GB2312" w:hAnsi="仿宋_GB2312" w:eastAsia="仿宋_GB2312" w:cs="仿宋_GB2312"/>
          <w:spacing w:val="7"/>
          <w:sz w:val="32"/>
          <w:szCs w:val="32"/>
        </w:rPr>
        <w:t>亿元。按类型划分，</w:t>
      </w:r>
      <w:r>
        <w:rPr>
          <w:rFonts w:hint="eastAsia" w:ascii="仿宋_GB2312" w:hAnsi="仿宋_GB2312" w:eastAsia="仿宋_GB2312" w:cs="仿宋_GB2312"/>
          <w:sz w:val="32"/>
          <w:szCs w:val="32"/>
          <w:highlight w:val="none"/>
        </w:rPr>
        <w:t>其中泥石流</w:t>
      </w:r>
      <w:r>
        <w:rPr>
          <w:rFonts w:hint="eastAsia" w:ascii="仿宋_GB2312" w:hAnsi="仿宋_GB2312" w:eastAsia="仿宋_GB2312" w:cs="仿宋_GB2312"/>
          <w:sz w:val="32"/>
          <w:szCs w:val="32"/>
          <w:highlight w:val="none"/>
          <w:lang w:val="en-US" w:eastAsia="zh-CN"/>
        </w:rPr>
        <w:t>122</w:t>
      </w:r>
      <w:r>
        <w:rPr>
          <w:rFonts w:hint="eastAsia" w:ascii="仿宋_GB2312" w:hAnsi="仿宋_GB2312" w:eastAsia="仿宋_GB2312" w:cs="仿宋_GB2312"/>
          <w:sz w:val="32"/>
          <w:szCs w:val="32"/>
          <w:highlight w:val="none"/>
        </w:rPr>
        <w:t>处，崩塌</w:t>
      </w:r>
      <w:r>
        <w:rPr>
          <w:rFonts w:hint="eastAsia" w:ascii="仿宋_GB2312" w:hAnsi="仿宋_GB2312" w:eastAsia="仿宋_GB2312" w:cs="仿宋_GB2312"/>
          <w:sz w:val="32"/>
          <w:szCs w:val="32"/>
          <w:highlight w:val="none"/>
          <w:lang w:val="en-US" w:eastAsia="zh-CN"/>
        </w:rPr>
        <w:t>42</w:t>
      </w:r>
      <w:r>
        <w:rPr>
          <w:rFonts w:hint="eastAsia" w:ascii="仿宋_GB2312" w:hAnsi="仿宋_GB2312" w:eastAsia="仿宋_GB2312" w:cs="仿宋_GB2312"/>
          <w:sz w:val="32"/>
          <w:szCs w:val="32"/>
          <w:highlight w:val="none"/>
        </w:rPr>
        <w:t>处，滑坡</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处，地面塌陷</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处。</w:t>
      </w:r>
      <w:r>
        <w:rPr>
          <w:rFonts w:hint="eastAsia" w:ascii="仿宋_GB2312" w:hAnsi="仿宋_GB2312" w:eastAsia="仿宋_GB2312" w:cs="仿宋_GB2312"/>
          <w:spacing w:val="4"/>
          <w:sz w:val="32"/>
          <w:szCs w:val="32"/>
        </w:rPr>
        <w:t>按险情等级划分，其中</w:t>
      </w:r>
      <w:r>
        <w:rPr>
          <w:rFonts w:hint="eastAsia" w:ascii="仿宋_GB2312" w:hAnsi="仿宋_GB2312" w:eastAsia="仿宋_GB2312" w:cs="仿宋_GB2312"/>
          <w:sz w:val="32"/>
          <w:szCs w:val="32"/>
          <w:highlight w:val="none"/>
        </w:rPr>
        <w:t>中型</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处，小型</w:t>
      </w:r>
      <w:r>
        <w:rPr>
          <w:rFonts w:hint="eastAsia" w:ascii="仿宋_GB2312" w:hAnsi="仿宋_GB2312" w:eastAsia="仿宋_GB2312" w:cs="仿宋_GB2312"/>
          <w:sz w:val="32"/>
          <w:szCs w:val="32"/>
          <w:highlight w:val="none"/>
          <w:lang w:val="en-US" w:eastAsia="zh-CN"/>
        </w:rPr>
        <w:t>166</w:t>
      </w:r>
      <w:r>
        <w:rPr>
          <w:rFonts w:hint="eastAsia" w:ascii="仿宋_GB2312" w:hAnsi="仿宋_GB2312" w:eastAsia="仿宋_GB2312" w:cs="仿宋_GB2312"/>
          <w:sz w:val="32"/>
          <w:szCs w:val="32"/>
          <w:highlight w:val="none"/>
        </w:rPr>
        <w:t>处</w:t>
      </w:r>
      <w:r>
        <w:rPr>
          <w:rFonts w:hint="eastAsia" w:ascii="仿宋_GB2312" w:hAnsi="仿宋_GB2312" w:eastAsia="仿宋_GB2312" w:cs="仿宋_GB2312"/>
          <w:spacing w:val="2"/>
          <w:sz w:val="32"/>
          <w:szCs w:val="32"/>
        </w:rPr>
        <w:t>。《全国地质灾害防治“十四五”规划》中</w:t>
      </w:r>
      <w:r>
        <w:rPr>
          <w:rFonts w:hint="eastAsia" w:ascii="仿宋_GB2312" w:hAnsi="仿宋_GB2312" w:eastAsia="仿宋_GB2312" w:cs="仿宋_GB2312"/>
          <w:spacing w:val="9"/>
          <w:sz w:val="32"/>
          <w:szCs w:val="32"/>
        </w:rPr>
        <w:t>将辽东山区列为地质灾害易发区和泥石流重点防治区。</w:t>
      </w:r>
    </w:p>
    <w:p w14:paraId="3172885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8"/>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根据自然资源部地质灾害统计标准，2024年全市无突发性地质灾害，</w:t>
      </w:r>
      <w:r>
        <w:rPr>
          <w:rFonts w:hint="eastAsia" w:ascii="仿宋_GB2312" w:hAnsi="仿宋_GB2312" w:eastAsia="仿宋_GB2312" w:cs="仿宋_GB2312"/>
          <w:spacing w:val="5"/>
          <w:sz w:val="32"/>
          <w:szCs w:val="32"/>
        </w:rPr>
        <w:t>近12年无人员因灾致死</w:t>
      </w:r>
      <w:r>
        <w:rPr>
          <w:rFonts w:hint="eastAsia" w:ascii="仿宋_GB2312" w:hAnsi="仿宋_GB2312" w:eastAsia="仿宋_GB2312" w:cs="仿宋_GB2312"/>
          <w:sz w:val="32"/>
          <w:szCs w:val="32"/>
          <w:highlight w:val="none"/>
          <w:lang w:val="en-US" w:eastAsia="zh-CN"/>
        </w:rPr>
        <w:t>，地质灾害防治工作取得良好效果。</w:t>
      </w:r>
    </w:p>
    <w:p w14:paraId="4818AB4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72" w:firstLineChars="200"/>
        <w:textAlignment w:val="baseline"/>
        <w:outlineLvl w:val="1"/>
        <w:rPr>
          <w:rFonts w:ascii="黑体" w:hAnsi="黑体" w:eastAsia="黑体" w:cs="黑体"/>
          <w:sz w:val="32"/>
          <w:szCs w:val="32"/>
        </w:rPr>
      </w:pPr>
      <w:r>
        <w:rPr>
          <w:rFonts w:ascii="黑体" w:hAnsi="黑体" w:eastAsia="黑体" w:cs="黑体"/>
          <w:spacing w:val="8"/>
          <w:sz w:val="32"/>
          <w:szCs w:val="32"/>
        </w:rPr>
        <w:t>二、地质灾害防范重点</w:t>
      </w:r>
    </w:p>
    <w:p w14:paraId="77CD61E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7" w:firstLineChars="200"/>
        <w:textAlignment w:val="baseline"/>
        <w:outlineLvl w:val="2"/>
        <w:rPr>
          <w:rFonts w:ascii="楷体" w:hAnsi="楷体" w:eastAsia="楷体" w:cs="楷体"/>
          <w:sz w:val="32"/>
          <w:szCs w:val="32"/>
        </w:rPr>
      </w:pPr>
      <w:r>
        <w:rPr>
          <w:rFonts w:ascii="楷体" w:hAnsi="楷体" w:eastAsia="楷体" w:cs="楷体"/>
          <w:b/>
          <w:bCs/>
          <w:spacing w:val="-4"/>
          <w:sz w:val="32"/>
          <w:szCs w:val="32"/>
        </w:rPr>
        <w:t>（一）降水预测</w:t>
      </w:r>
    </w:p>
    <w:p w14:paraId="3BFAC92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66"/>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降雨与地质灾害关系极为密切，是诱发地质灾害最主要的原</w:t>
      </w:r>
      <w:r>
        <w:rPr>
          <w:rFonts w:hint="eastAsia" w:ascii="仿宋_GB2312" w:hAnsi="仿宋_GB2312" w:eastAsia="仿宋_GB2312" w:cs="仿宋_GB2312"/>
          <w:spacing w:val="6"/>
          <w:sz w:val="32"/>
          <w:szCs w:val="32"/>
        </w:rPr>
        <w:t>因，尤其是短时强降雨和持续中等强度降雨最易引发地质灾害；</w:t>
      </w:r>
      <w:r>
        <w:rPr>
          <w:rFonts w:hint="eastAsia" w:ascii="仿宋_GB2312" w:hAnsi="仿宋_GB2312" w:eastAsia="仿宋_GB2312" w:cs="仿宋_GB2312"/>
          <w:spacing w:val="7"/>
          <w:sz w:val="32"/>
          <w:szCs w:val="32"/>
        </w:rPr>
        <w:t>根据滑坡、泥石流灾害点密度发现，年均降雨量处于700～1100</w:t>
      </w:r>
      <w:r>
        <w:rPr>
          <w:rFonts w:hint="eastAsia" w:ascii="仿宋_GB2312" w:hAnsi="仿宋_GB2312" w:eastAsia="仿宋_GB2312" w:cs="仿宋_GB2312"/>
          <w:spacing w:val="4"/>
          <w:sz w:val="32"/>
          <w:szCs w:val="32"/>
        </w:rPr>
        <w:t>毫米区间为地质灾害频发区。对全</w:t>
      </w:r>
      <w:r>
        <w:rPr>
          <w:rFonts w:hint="eastAsia" w:ascii="仿宋_GB2312" w:hAnsi="仿宋_GB2312" w:eastAsia="仿宋_GB2312" w:cs="仿宋_GB2312"/>
          <w:spacing w:val="4"/>
          <w:sz w:val="32"/>
          <w:szCs w:val="32"/>
          <w:lang w:val="en-US" w:eastAsia="zh-CN"/>
        </w:rPr>
        <w:t>市</w:t>
      </w:r>
      <w:r>
        <w:rPr>
          <w:rFonts w:hint="eastAsia" w:ascii="仿宋_GB2312" w:hAnsi="仿宋_GB2312" w:eastAsia="仿宋_GB2312" w:cs="仿宋_GB2312"/>
          <w:spacing w:val="4"/>
          <w:sz w:val="32"/>
          <w:szCs w:val="32"/>
        </w:rPr>
        <w:t>降水量条件、降水量趋势预</w:t>
      </w:r>
      <w:r>
        <w:rPr>
          <w:rFonts w:hint="eastAsia" w:ascii="仿宋_GB2312" w:hAnsi="仿宋_GB2312" w:eastAsia="仿宋_GB2312" w:cs="仿宋_GB2312"/>
          <w:spacing w:val="10"/>
          <w:sz w:val="32"/>
          <w:szCs w:val="32"/>
        </w:rPr>
        <w:t>测分析，大部分滑坡、泥石流、崩塌发生在汛期7—8月，由降</w:t>
      </w:r>
      <w:r>
        <w:rPr>
          <w:rFonts w:hint="eastAsia" w:ascii="仿宋_GB2312" w:hAnsi="仿宋_GB2312" w:eastAsia="仿宋_GB2312" w:cs="仿宋_GB2312"/>
          <w:spacing w:val="5"/>
          <w:sz w:val="32"/>
          <w:szCs w:val="32"/>
        </w:rPr>
        <w:t>雨所引发，地质灾害时间上多发生于强降雨过程期间，有一定的</w:t>
      </w:r>
      <w:r>
        <w:rPr>
          <w:rFonts w:hint="eastAsia" w:ascii="仿宋_GB2312" w:hAnsi="仿宋_GB2312" w:eastAsia="仿宋_GB2312" w:cs="仿宋_GB2312"/>
          <w:spacing w:val="9"/>
          <w:sz w:val="32"/>
          <w:szCs w:val="32"/>
        </w:rPr>
        <w:t>滞后性。预测2025年汛期7</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9"/>
          <w:sz w:val="32"/>
          <w:szCs w:val="32"/>
        </w:rPr>
        <w:t>8月份为最易发时段，发生</w:t>
      </w:r>
      <w:r>
        <w:rPr>
          <w:rFonts w:hint="eastAsia" w:ascii="仿宋_GB2312" w:hAnsi="仿宋_GB2312" w:eastAsia="仿宋_GB2312" w:cs="仿宋_GB2312"/>
          <w:spacing w:val="8"/>
          <w:sz w:val="32"/>
          <w:szCs w:val="32"/>
        </w:rPr>
        <w:t>地质灾</w:t>
      </w:r>
      <w:r>
        <w:rPr>
          <w:rFonts w:hint="eastAsia" w:ascii="仿宋_GB2312" w:hAnsi="仿宋_GB2312" w:eastAsia="仿宋_GB2312" w:cs="仿宋_GB2312"/>
          <w:spacing w:val="17"/>
          <w:sz w:val="32"/>
          <w:szCs w:val="32"/>
        </w:rPr>
        <w:t>害的可能性较大，汛期以外的月份发生地质灾害可能性相对较</w:t>
      </w:r>
      <w:r>
        <w:rPr>
          <w:rFonts w:hint="eastAsia" w:ascii="仿宋_GB2312" w:hAnsi="仿宋_GB2312" w:eastAsia="仿宋_GB2312" w:cs="仿宋_GB2312"/>
          <w:spacing w:val="11"/>
          <w:sz w:val="32"/>
          <w:szCs w:val="32"/>
        </w:rPr>
        <w:t>低。</w:t>
      </w:r>
      <w:r>
        <w:rPr>
          <w:rFonts w:hint="eastAsia" w:ascii="仿宋_GB2312" w:hAnsi="仿宋_GB2312" w:eastAsia="仿宋_GB2312" w:cs="仿宋_GB2312"/>
          <w:spacing w:val="11"/>
          <w:sz w:val="32"/>
          <w:szCs w:val="32"/>
          <w:lang w:val="en-US" w:eastAsia="zh-CN"/>
        </w:rPr>
        <w:t>营口市</w:t>
      </w:r>
      <w:r>
        <w:rPr>
          <w:rFonts w:hint="eastAsia" w:ascii="仿宋_GB2312" w:hAnsi="仿宋_GB2312" w:eastAsia="仿宋_GB2312" w:cs="仿宋_GB2312"/>
          <w:spacing w:val="11"/>
          <w:sz w:val="32"/>
          <w:szCs w:val="32"/>
        </w:rPr>
        <w:t>气象局2025年度气候趋势预测：</w:t>
      </w:r>
    </w:p>
    <w:p w14:paraId="7717F39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6"/>
        <w:jc w:val="both"/>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rPr>
        <w:t>预计2025年春季（3～5月），全市平均降水量较常年同期偏多1～2成</w:t>
      </w:r>
      <w:r>
        <w:rPr>
          <w:rFonts w:hint="eastAsia" w:ascii="仿宋_GB2312" w:hAnsi="仿宋_GB2312" w:eastAsia="仿宋_GB2312" w:cs="仿宋_GB2312"/>
          <w:spacing w:val="11"/>
          <w:sz w:val="32"/>
          <w:szCs w:val="32"/>
          <w:lang w:eastAsia="zh-CN"/>
        </w:rPr>
        <w:t>。</w:t>
      </w:r>
    </w:p>
    <w:p w14:paraId="3CFFDD6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6"/>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1"/>
          <w:sz w:val="32"/>
          <w:szCs w:val="32"/>
        </w:rPr>
        <w:t>预计2025年夏季（6～8月）全</w:t>
      </w:r>
      <w:r>
        <w:rPr>
          <w:rFonts w:hint="eastAsia" w:ascii="仿宋_GB2312" w:hAnsi="仿宋_GB2312" w:eastAsia="仿宋_GB2312" w:cs="仿宋_GB2312"/>
          <w:spacing w:val="11"/>
          <w:sz w:val="32"/>
          <w:szCs w:val="32"/>
          <w:lang w:val="en-US" w:eastAsia="zh-CN"/>
        </w:rPr>
        <w:t>市</w:t>
      </w:r>
      <w:r>
        <w:rPr>
          <w:rFonts w:hint="eastAsia" w:ascii="仿宋_GB2312" w:hAnsi="仿宋_GB2312" w:eastAsia="仿宋_GB2312" w:cs="仿宋_GB2312"/>
          <w:spacing w:val="11"/>
          <w:sz w:val="32"/>
          <w:szCs w:val="32"/>
        </w:rPr>
        <w:t>平均降</w:t>
      </w:r>
      <w:r>
        <w:rPr>
          <w:rFonts w:hint="eastAsia" w:ascii="仿宋_GB2312" w:hAnsi="仿宋_GB2312" w:eastAsia="仿宋_GB2312" w:cs="仿宋_GB2312"/>
          <w:spacing w:val="10"/>
          <w:sz w:val="32"/>
          <w:szCs w:val="32"/>
        </w:rPr>
        <w:t>水量为</w:t>
      </w:r>
      <w:r>
        <w:rPr>
          <w:rFonts w:hint="eastAsia" w:ascii="仿宋_GB2312" w:hAnsi="仿宋_GB2312" w:eastAsia="仿宋_GB2312" w:cs="仿宋_GB2312"/>
          <w:spacing w:val="10"/>
          <w:sz w:val="32"/>
          <w:szCs w:val="32"/>
          <w:lang w:val="en-US" w:eastAsia="zh-CN"/>
        </w:rPr>
        <w:t>440-480</w:t>
      </w:r>
      <w:r>
        <w:rPr>
          <w:rFonts w:hint="eastAsia" w:ascii="仿宋_GB2312" w:hAnsi="仿宋_GB2312" w:eastAsia="仿宋_GB2312" w:cs="仿宋_GB2312"/>
          <w:spacing w:val="12"/>
          <w:sz w:val="32"/>
          <w:szCs w:val="32"/>
        </w:rPr>
        <w:t>毫米，较常年同期偏多2～</w:t>
      </w:r>
      <w:r>
        <w:rPr>
          <w:rFonts w:hint="eastAsia" w:ascii="仿宋_GB2312" w:hAnsi="仿宋_GB2312" w:eastAsia="仿宋_GB2312" w:cs="仿宋_GB2312"/>
          <w:spacing w:val="12"/>
          <w:sz w:val="32"/>
          <w:szCs w:val="32"/>
          <w:lang w:val="en-US" w:eastAsia="zh-CN"/>
        </w:rPr>
        <w:t>3</w:t>
      </w:r>
      <w:r>
        <w:rPr>
          <w:rFonts w:hint="eastAsia" w:ascii="仿宋_GB2312" w:hAnsi="仿宋_GB2312" w:eastAsia="仿宋_GB2312" w:cs="仿宋_GB2312"/>
          <w:spacing w:val="12"/>
          <w:sz w:val="32"/>
          <w:szCs w:val="32"/>
        </w:rPr>
        <w:t>成。</w:t>
      </w:r>
      <w:r>
        <w:rPr>
          <w:rFonts w:hint="eastAsia" w:ascii="仿宋_GB2312" w:hAnsi="仿宋_GB2312" w:eastAsia="仿宋_GB2312" w:cs="仿宋_GB2312"/>
          <w:bCs/>
          <w:kern w:val="0"/>
          <w:sz w:val="32"/>
          <w:szCs w:val="32"/>
        </w:rPr>
        <w:t>初夏（6月），偏多1～2成；盛夏（7～8月），较常年同期偏多2～4成，强降水过程频次多、极端性强</w:t>
      </w:r>
      <w:r>
        <w:rPr>
          <w:rFonts w:hint="eastAsia" w:ascii="仿宋_GB2312" w:hAnsi="仿宋_GB2312" w:eastAsia="仿宋_GB2312" w:cs="仿宋_GB2312"/>
          <w:spacing w:val="1"/>
          <w:sz w:val="32"/>
          <w:szCs w:val="32"/>
        </w:rPr>
        <w:t>。</w:t>
      </w:r>
    </w:p>
    <w:p w14:paraId="5F668D5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6"/>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预计2025年秋季（9～11月）全市平均降水量为85.2～103.6毫米，较常年同期偏少1～2成。</w:t>
      </w:r>
    </w:p>
    <w:p w14:paraId="6EBEB9A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9" w:firstLineChars="200"/>
        <w:textAlignment w:val="baseline"/>
        <w:outlineLvl w:val="2"/>
        <w:rPr>
          <w:rFonts w:ascii="楷体" w:hAnsi="楷体" w:eastAsia="楷体" w:cs="楷体"/>
          <w:sz w:val="32"/>
          <w:szCs w:val="32"/>
        </w:rPr>
      </w:pPr>
      <w:r>
        <w:rPr>
          <w:rFonts w:ascii="楷体" w:hAnsi="楷体" w:eastAsia="楷体" w:cs="楷体"/>
          <w:b/>
          <w:bCs/>
          <w:spacing w:val="-1"/>
          <w:sz w:val="32"/>
          <w:szCs w:val="32"/>
        </w:rPr>
        <w:t>（二）重点防范地区</w:t>
      </w:r>
    </w:p>
    <w:p w14:paraId="22DD854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6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地质灾害预防的重点区域为已划定的地质灾害中高易发区以及人口密集工程活动强烈地区、采矿可能诱发地质灾害地区。此外险情严重、灾害体变化显著、始终处于监控的地质灾害隐患点也是防范的重中之重。</w:t>
      </w:r>
      <w:r>
        <w:rPr>
          <w:rFonts w:hint="eastAsia" w:ascii="仿宋_GB2312" w:hAnsi="仿宋_GB2312" w:eastAsia="仿宋_GB2312" w:cs="仿宋_GB2312"/>
          <w:spacing w:val="2"/>
          <w:sz w:val="32"/>
          <w:szCs w:val="32"/>
        </w:rPr>
        <w:t>根据2025年全</w:t>
      </w:r>
      <w:r>
        <w:rPr>
          <w:rFonts w:hint="eastAsia" w:ascii="仿宋_GB2312" w:hAnsi="仿宋_GB2312" w:eastAsia="仿宋_GB2312" w:cs="仿宋_GB2312"/>
          <w:spacing w:val="2"/>
          <w:sz w:val="32"/>
          <w:szCs w:val="32"/>
          <w:lang w:val="en-US" w:eastAsia="zh-CN"/>
        </w:rPr>
        <w:t>市</w:t>
      </w:r>
      <w:r>
        <w:rPr>
          <w:rFonts w:hint="eastAsia" w:ascii="仿宋_GB2312" w:hAnsi="仿宋_GB2312" w:eastAsia="仿宋_GB2312" w:cs="仿宋_GB2312"/>
          <w:spacing w:val="2"/>
          <w:sz w:val="32"/>
          <w:szCs w:val="32"/>
        </w:rPr>
        <w:t>降水趋势、往年地质灾害发</w:t>
      </w:r>
      <w:r>
        <w:rPr>
          <w:rFonts w:hint="eastAsia" w:ascii="仿宋_GB2312" w:hAnsi="仿宋_GB2312" w:eastAsia="仿宋_GB2312" w:cs="仿宋_GB2312"/>
          <w:spacing w:val="1"/>
          <w:sz w:val="32"/>
          <w:szCs w:val="32"/>
        </w:rPr>
        <w:t>生的规律特点，</w:t>
      </w:r>
      <w:r>
        <w:rPr>
          <w:rFonts w:hint="eastAsia" w:ascii="仿宋_GB2312" w:hAnsi="仿宋_GB2312" w:eastAsia="仿宋_GB2312" w:cs="仿宋_GB2312"/>
          <w:spacing w:val="12"/>
          <w:sz w:val="32"/>
          <w:szCs w:val="32"/>
        </w:rPr>
        <w:t>结合地灾防治现状、人类工程活动等情况，开展2025年度地质</w:t>
      </w:r>
      <w:r>
        <w:rPr>
          <w:rFonts w:hint="eastAsia" w:ascii="仿宋_GB2312" w:hAnsi="仿宋_GB2312" w:eastAsia="仿宋_GB2312" w:cs="仿宋_GB2312"/>
          <w:spacing w:val="8"/>
          <w:sz w:val="32"/>
          <w:szCs w:val="32"/>
        </w:rPr>
        <w:t>灾害趋势预测，确定本年度地质灾害重点防范地区如下。</w:t>
      </w:r>
    </w:p>
    <w:p w14:paraId="559134F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position w:val="1"/>
          <w:sz w:val="32"/>
          <w:szCs w:val="32"/>
        </w:rPr>
        <w:t>1.全</w:t>
      </w:r>
      <w:r>
        <w:rPr>
          <w:rFonts w:hint="eastAsia" w:ascii="仿宋_GB2312" w:hAnsi="仿宋_GB2312" w:eastAsia="仿宋_GB2312" w:cs="仿宋_GB2312"/>
          <w:spacing w:val="4"/>
          <w:position w:val="1"/>
          <w:sz w:val="32"/>
          <w:szCs w:val="32"/>
          <w:lang w:val="en-US" w:eastAsia="zh-CN"/>
        </w:rPr>
        <w:t>市</w:t>
      </w:r>
      <w:r>
        <w:rPr>
          <w:rFonts w:hint="eastAsia" w:ascii="仿宋_GB2312" w:hAnsi="仿宋_GB2312" w:eastAsia="仿宋_GB2312" w:cs="仿宋_GB2312"/>
          <w:spacing w:val="4"/>
          <w:position w:val="1"/>
          <w:sz w:val="32"/>
          <w:szCs w:val="32"/>
        </w:rPr>
        <w:t>重点防范区域</w:t>
      </w:r>
    </w:p>
    <w:p w14:paraId="66011CA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盖州市东部、东南部和大石桥市东部低山丘陵区，</w:t>
      </w:r>
      <w:r>
        <w:rPr>
          <w:rFonts w:hint="eastAsia" w:ascii="仿宋_GB2312" w:hAnsi="仿宋_GB2312" w:eastAsia="仿宋_GB2312" w:cs="仿宋_GB2312"/>
          <w:sz w:val="32"/>
          <w:szCs w:val="32"/>
        </w:rPr>
        <w:t>盖州市杨运镇、小石棚乡</w:t>
      </w:r>
      <w:r>
        <w:rPr>
          <w:rFonts w:hint="eastAsia" w:ascii="仿宋_GB2312" w:hAnsi="仿宋_GB2312" w:eastAsia="仿宋_GB2312" w:cs="仿宋_GB2312"/>
          <w:sz w:val="32"/>
          <w:szCs w:val="32"/>
          <w:lang w:val="en-US" w:eastAsia="zh-CN"/>
        </w:rPr>
        <w:t>、梁屯镇、</w:t>
      </w:r>
      <w:r>
        <w:rPr>
          <w:rFonts w:hint="eastAsia" w:ascii="仿宋_GB2312" w:hAnsi="仿宋_GB2312" w:eastAsia="仿宋_GB2312" w:cs="仿宋_GB2312"/>
          <w:sz w:val="32"/>
          <w:szCs w:val="32"/>
        </w:rPr>
        <w:t>什字街镇、卧龙泉镇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矿洞沟镇</w:t>
      </w:r>
      <w:r>
        <w:rPr>
          <w:rFonts w:hint="eastAsia" w:ascii="仿宋_GB2312" w:hAnsi="仿宋_GB2312" w:eastAsia="仿宋_GB2312" w:cs="仿宋_GB2312"/>
          <w:sz w:val="32"/>
          <w:szCs w:val="32"/>
          <w:lang w:val="en-US" w:eastAsia="zh-CN"/>
        </w:rPr>
        <w:t>全部地区和</w:t>
      </w:r>
      <w:r>
        <w:rPr>
          <w:rFonts w:hint="eastAsia" w:ascii="仿宋_GB2312" w:hAnsi="仿宋_GB2312" w:eastAsia="仿宋_GB2312" w:cs="仿宋_GB2312"/>
          <w:sz w:val="32"/>
          <w:szCs w:val="32"/>
        </w:rPr>
        <w:t>暖泉镇、</w:t>
      </w:r>
      <w:r>
        <w:rPr>
          <w:rFonts w:hint="eastAsia" w:ascii="仿宋_GB2312" w:hAnsi="仿宋_GB2312" w:eastAsia="仿宋_GB2312" w:cs="仿宋_GB2312"/>
          <w:sz w:val="32"/>
          <w:szCs w:val="32"/>
          <w:lang w:val="en-US" w:eastAsia="zh-CN"/>
        </w:rPr>
        <w:t>陈屯镇、徐屯镇</w:t>
      </w:r>
      <w:r>
        <w:rPr>
          <w:rFonts w:hint="eastAsia" w:ascii="仿宋_GB2312" w:hAnsi="仿宋_GB2312" w:eastAsia="仿宋_GB2312" w:cs="仿宋_GB2312"/>
          <w:sz w:val="32"/>
          <w:szCs w:val="32"/>
        </w:rPr>
        <w:t>、榜式堡镇、</w:t>
      </w:r>
      <w:r>
        <w:rPr>
          <w:rFonts w:hint="eastAsia" w:ascii="仿宋_GB2312" w:hAnsi="仿宋_GB2312" w:eastAsia="仿宋_GB2312" w:cs="仿宋_GB2312"/>
          <w:sz w:val="32"/>
          <w:szCs w:val="32"/>
          <w:lang w:val="en-US" w:eastAsia="zh-CN"/>
        </w:rPr>
        <w:t>万福镇、高屯镇大部分地区，</w:t>
      </w:r>
      <w:r>
        <w:rPr>
          <w:rFonts w:hint="eastAsia" w:ascii="仿宋_GB2312" w:hAnsi="仿宋_GB2312" w:eastAsia="仿宋_GB2312" w:cs="仿宋_GB2312"/>
          <w:sz w:val="32"/>
          <w:szCs w:val="32"/>
        </w:rPr>
        <w:t>大石桥市建一镇、黄土岭镇</w:t>
      </w:r>
      <w:r>
        <w:rPr>
          <w:rFonts w:hint="eastAsia" w:ascii="仿宋_GB2312" w:hAnsi="仿宋_GB2312" w:eastAsia="仿宋_GB2312" w:cs="仿宋_GB2312"/>
          <w:sz w:val="32"/>
          <w:szCs w:val="32"/>
          <w:lang w:val="en-US" w:eastAsia="zh-CN"/>
        </w:rPr>
        <w:t>全部地区和</w:t>
      </w:r>
      <w:r>
        <w:rPr>
          <w:rFonts w:hint="eastAsia" w:ascii="仿宋_GB2312" w:hAnsi="仿宋_GB2312" w:eastAsia="仿宋_GB2312" w:cs="仿宋_GB2312"/>
          <w:sz w:val="32"/>
          <w:szCs w:val="32"/>
        </w:rPr>
        <w:t>周家镇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汤池镇、官屯镇部分地区</w:t>
      </w:r>
      <w:r>
        <w:rPr>
          <w:rFonts w:hint="eastAsia" w:ascii="仿宋_GB2312" w:hAnsi="仿宋_GB2312" w:eastAsia="仿宋_GB2312" w:cs="仿宋_GB2312"/>
          <w:spacing w:val="10"/>
          <w:sz w:val="32"/>
          <w:szCs w:val="32"/>
        </w:rPr>
        <w:t>为自</w:t>
      </w:r>
      <w:r>
        <w:rPr>
          <w:rFonts w:hint="eastAsia" w:ascii="仿宋_GB2312" w:hAnsi="仿宋_GB2312" w:eastAsia="仿宋_GB2312" w:cs="仿宋_GB2312"/>
          <w:spacing w:val="9"/>
          <w:sz w:val="32"/>
          <w:szCs w:val="32"/>
        </w:rPr>
        <w:t>然因素引发滑坡、崩塌、泥石流、地面塌陷等突发性地质灾害重点防范区。</w:t>
      </w:r>
    </w:p>
    <w:p w14:paraId="63AE1AD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近年，我</w:t>
      </w:r>
      <w:r>
        <w:rPr>
          <w:rFonts w:hint="eastAsia" w:ascii="仿宋_GB2312" w:hAnsi="仿宋_GB2312" w:eastAsia="仿宋_GB2312" w:cs="仿宋_GB2312"/>
          <w:spacing w:val="5"/>
          <w:sz w:val="32"/>
          <w:szCs w:val="32"/>
          <w:lang w:val="en-US" w:eastAsia="zh-CN"/>
        </w:rPr>
        <w:t>市</w:t>
      </w:r>
      <w:r>
        <w:rPr>
          <w:rFonts w:hint="eastAsia" w:ascii="仿宋_GB2312" w:hAnsi="仿宋_GB2312" w:eastAsia="仿宋_GB2312" w:cs="仿宋_GB2312"/>
          <w:spacing w:val="5"/>
          <w:sz w:val="32"/>
          <w:szCs w:val="32"/>
        </w:rPr>
        <w:t>矿山闭坑较多，矿山发生灾害的可</w:t>
      </w:r>
      <w:r>
        <w:rPr>
          <w:rFonts w:hint="eastAsia" w:ascii="仿宋_GB2312" w:hAnsi="仿宋_GB2312" w:eastAsia="仿宋_GB2312" w:cs="仿宋_GB2312"/>
          <w:spacing w:val="4"/>
          <w:sz w:val="32"/>
          <w:szCs w:val="32"/>
        </w:rPr>
        <w:t>能性减弱，但</w:t>
      </w:r>
      <w:r>
        <w:rPr>
          <w:rFonts w:hint="eastAsia" w:ascii="仿宋_GB2312" w:hAnsi="仿宋_GB2312" w:eastAsia="仿宋_GB2312" w:cs="仿宋_GB2312"/>
          <w:spacing w:val="5"/>
          <w:sz w:val="32"/>
          <w:szCs w:val="32"/>
        </w:rPr>
        <w:t>在</w:t>
      </w:r>
      <w:r>
        <w:rPr>
          <w:rFonts w:hint="eastAsia" w:ascii="仿宋_GB2312" w:hAnsi="仿宋_GB2312" w:eastAsia="仿宋_GB2312" w:cs="仿宋_GB2312"/>
          <w:sz w:val="32"/>
          <w:szCs w:val="32"/>
        </w:rPr>
        <w:t>大石桥市南楼经济开发区和官屯镇大岭矿山开采区、大石桥市官屯镇分水地区原金矿采区仍可能会发生地面塌陷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地裂缝</w:t>
      </w:r>
      <w:r>
        <w:rPr>
          <w:rFonts w:hint="eastAsia" w:ascii="仿宋_GB2312" w:hAnsi="仿宋_GB2312" w:eastAsia="仿宋_GB2312" w:cs="仿宋_GB2312"/>
          <w:sz w:val="32"/>
          <w:szCs w:val="32"/>
        </w:rPr>
        <w:t>等地质灾害</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盖州市东部、东南部和大石桥市东部低山丘陵区</w:t>
      </w:r>
      <w:r>
        <w:rPr>
          <w:rFonts w:hint="eastAsia" w:ascii="仿宋_GB2312" w:hAnsi="仿宋_GB2312" w:eastAsia="仿宋_GB2312" w:cs="仿宋_GB2312"/>
          <w:spacing w:val="5"/>
          <w:sz w:val="32"/>
          <w:szCs w:val="32"/>
        </w:rPr>
        <w:t>因切坡等工程活动引发边坡崩塌、滑坡等地质灾害仍有可能发生，为人为因素引发地质灾害重点防范区。</w:t>
      </w:r>
    </w:p>
    <w:p w14:paraId="4A21291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position w:val="1"/>
          <w:sz w:val="32"/>
          <w:szCs w:val="32"/>
        </w:rPr>
        <w:t>2.重点地段防范区域</w:t>
      </w:r>
    </w:p>
    <w:p w14:paraId="73C0ABD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1"/>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位于地质灾害易发区内城镇建成区、学校、医院、旅游景区、</w:t>
      </w:r>
      <w:r>
        <w:rPr>
          <w:rFonts w:hint="eastAsia" w:ascii="仿宋_GB2312" w:hAnsi="仿宋_GB2312" w:eastAsia="仿宋_GB2312" w:cs="仿宋_GB2312"/>
          <w:spacing w:val="5"/>
          <w:sz w:val="32"/>
          <w:szCs w:val="32"/>
        </w:rPr>
        <w:t>移民安置点、工棚营地等人员密集场所，以及临坡临崖、临沟临坎的民宿、农家乐等经营性场所；以及工程扰动高风险区，涵盖在建交通干线、水利枢纽、深基坑工程、大型深基坑（边坡）等</w:t>
      </w:r>
      <w:r>
        <w:rPr>
          <w:rFonts w:hint="eastAsia" w:ascii="仿宋_GB2312" w:hAnsi="仿宋_GB2312" w:eastAsia="仿宋_GB2312" w:cs="仿宋_GB2312"/>
          <w:spacing w:val="8"/>
          <w:sz w:val="32"/>
          <w:szCs w:val="32"/>
        </w:rPr>
        <w:t>重要工程建设活动区均属重点防范对象。</w:t>
      </w:r>
    </w:p>
    <w:p w14:paraId="2D9F841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9"/>
        <w:jc w:val="both"/>
        <w:textAlignment w:val="baseline"/>
        <w:rPr>
          <w:rFonts w:ascii="楷体" w:hAnsi="楷体" w:eastAsia="楷体" w:cs="楷体"/>
          <w:b/>
          <w:bCs/>
          <w:spacing w:val="-2"/>
          <w:sz w:val="32"/>
          <w:szCs w:val="32"/>
        </w:rPr>
      </w:pPr>
      <w:r>
        <w:rPr>
          <w:rFonts w:ascii="楷体" w:hAnsi="楷体" w:eastAsia="楷体" w:cs="楷体"/>
          <w:b/>
          <w:bCs/>
          <w:spacing w:val="-2"/>
          <w:sz w:val="32"/>
          <w:szCs w:val="32"/>
        </w:rPr>
        <w:t>（三）重点防范期</w:t>
      </w:r>
    </w:p>
    <w:p w14:paraId="2D75E77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根据近年降雨极端天气频发的情况，全</w:t>
      </w:r>
      <w:r>
        <w:rPr>
          <w:rFonts w:hint="eastAsia" w:ascii="仿宋_GB2312" w:hAnsi="仿宋_GB2312" w:eastAsia="仿宋_GB2312" w:cs="仿宋_GB2312"/>
          <w:spacing w:val="5"/>
          <w:sz w:val="32"/>
          <w:szCs w:val="32"/>
          <w:lang w:val="en-US" w:eastAsia="zh-CN"/>
        </w:rPr>
        <w:t>市</w:t>
      </w:r>
      <w:r>
        <w:rPr>
          <w:rFonts w:hint="eastAsia" w:ascii="仿宋_GB2312" w:hAnsi="仿宋_GB2312" w:eastAsia="仿宋_GB2312" w:cs="仿宋_GB2312"/>
          <w:spacing w:val="5"/>
          <w:sz w:val="32"/>
          <w:szCs w:val="32"/>
        </w:rPr>
        <w:t>地质灾害高发期主</w:t>
      </w:r>
      <w:r>
        <w:rPr>
          <w:rFonts w:hint="eastAsia" w:ascii="仿宋_GB2312" w:hAnsi="仿宋_GB2312" w:eastAsia="仿宋_GB2312" w:cs="仿宋_GB2312"/>
          <w:spacing w:val="8"/>
          <w:sz w:val="32"/>
          <w:szCs w:val="32"/>
        </w:rPr>
        <w:t>要为汛期7</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8"/>
          <w:sz w:val="32"/>
          <w:szCs w:val="32"/>
        </w:rPr>
        <w:t>8月，其中7月下旬至8月上旬为最易发时段。预</w:t>
      </w:r>
      <w:r>
        <w:rPr>
          <w:rFonts w:hint="eastAsia" w:ascii="仿宋_GB2312" w:hAnsi="仿宋_GB2312" w:eastAsia="仿宋_GB2312" w:cs="仿宋_GB2312"/>
          <w:spacing w:val="6"/>
          <w:sz w:val="32"/>
          <w:szCs w:val="32"/>
        </w:rPr>
        <w:t>计其他月份如5月、6月、9月等非高发时段，如遇台风或短时</w:t>
      </w:r>
      <w:r>
        <w:rPr>
          <w:rFonts w:hint="eastAsia" w:ascii="仿宋_GB2312" w:hAnsi="仿宋_GB2312" w:eastAsia="仿宋_GB2312" w:cs="仿宋_GB2312"/>
          <w:spacing w:val="7"/>
          <w:sz w:val="32"/>
          <w:szCs w:val="32"/>
        </w:rPr>
        <w:t>强降水，有可能发生地质灾害。</w:t>
      </w:r>
    </w:p>
    <w:p w14:paraId="2F45F2C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8"/>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采矿等人类工程活动造成的地面塌陷、崩塌、滑坡等地质灾害在全年均有可能发生。在初春冰雪冻融季节，因土体冻融及土</w:t>
      </w:r>
      <w:r>
        <w:rPr>
          <w:rFonts w:hint="eastAsia" w:ascii="仿宋_GB2312" w:hAnsi="仿宋_GB2312" w:eastAsia="仿宋_GB2312" w:cs="仿宋_GB2312"/>
          <w:spacing w:val="6"/>
          <w:sz w:val="32"/>
          <w:szCs w:val="32"/>
        </w:rPr>
        <w:t>体中地下水作用的影响，在公路两侧等切坡地</w:t>
      </w:r>
      <w:r>
        <w:rPr>
          <w:rFonts w:hint="eastAsia" w:ascii="仿宋_GB2312" w:hAnsi="仿宋_GB2312" w:eastAsia="仿宋_GB2312" w:cs="仿宋_GB2312"/>
          <w:spacing w:val="5"/>
          <w:sz w:val="32"/>
          <w:szCs w:val="32"/>
        </w:rPr>
        <w:t>段，易产生崩塌和</w:t>
      </w:r>
      <w:r>
        <w:rPr>
          <w:rFonts w:hint="eastAsia" w:ascii="仿宋_GB2312" w:hAnsi="仿宋_GB2312" w:eastAsia="仿宋_GB2312" w:cs="仿宋_GB2312"/>
          <w:spacing w:val="7"/>
          <w:sz w:val="32"/>
          <w:szCs w:val="32"/>
        </w:rPr>
        <w:t>滑坡地质灾害。</w:t>
      </w:r>
    </w:p>
    <w:p w14:paraId="40284FC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7"/>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2025年度地质灾害重点防范期在主汛期（7月</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4"/>
          <w:sz w:val="32"/>
          <w:szCs w:val="32"/>
        </w:rPr>
        <w:t>8月</w:t>
      </w:r>
      <w:r>
        <w:rPr>
          <w:rFonts w:hint="eastAsia" w:ascii="仿宋_GB2312" w:hAnsi="仿宋_GB2312" w:eastAsia="仿宋_GB2312" w:cs="仿宋_GB2312"/>
          <w:spacing w:val="13"/>
          <w:sz w:val="32"/>
          <w:szCs w:val="32"/>
        </w:rPr>
        <w:t>），</w:t>
      </w:r>
      <w:r>
        <w:rPr>
          <w:rFonts w:hint="eastAsia" w:ascii="仿宋_GB2312" w:hAnsi="仿宋_GB2312" w:eastAsia="仿宋_GB2312" w:cs="仿宋_GB2312"/>
          <w:spacing w:val="4"/>
          <w:sz w:val="32"/>
          <w:szCs w:val="32"/>
        </w:rPr>
        <w:t>特</w:t>
      </w:r>
      <w:r>
        <w:rPr>
          <w:rFonts w:hint="eastAsia" w:ascii="仿宋_GB2312" w:hAnsi="仿宋_GB2312" w:eastAsia="仿宋_GB2312" w:cs="仿宋_GB2312"/>
          <w:spacing w:val="5"/>
          <w:sz w:val="32"/>
          <w:szCs w:val="32"/>
        </w:rPr>
        <w:t>别是特大暴雨、大暴雨、连日降雨及秋汛、短时强降雨时段以及</w:t>
      </w:r>
      <w:r>
        <w:rPr>
          <w:rFonts w:hint="eastAsia" w:ascii="仿宋_GB2312" w:hAnsi="仿宋_GB2312" w:eastAsia="仿宋_GB2312" w:cs="仿宋_GB2312"/>
          <w:spacing w:val="8"/>
          <w:sz w:val="32"/>
          <w:szCs w:val="32"/>
        </w:rPr>
        <w:t>地质灾害易发区的工程活动全建设周期。</w:t>
      </w:r>
    </w:p>
    <w:p w14:paraId="02E0F9A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68" w:firstLineChars="200"/>
        <w:textAlignment w:val="baseline"/>
        <w:rPr>
          <w:rFonts w:ascii="黑体" w:hAnsi="黑体" w:eastAsia="黑体" w:cs="黑体"/>
          <w:sz w:val="32"/>
          <w:szCs w:val="32"/>
        </w:rPr>
      </w:pPr>
      <w:r>
        <w:rPr>
          <w:rFonts w:ascii="黑体" w:hAnsi="黑体" w:eastAsia="黑体" w:cs="黑体"/>
          <w:spacing w:val="7"/>
          <w:sz w:val="32"/>
          <w:szCs w:val="32"/>
        </w:rPr>
        <w:t>三、年度工作安排</w:t>
      </w:r>
    </w:p>
    <w:p w14:paraId="427E491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5" w:firstLineChars="200"/>
        <w:textAlignment w:val="baseline"/>
        <w:outlineLvl w:val="2"/>
        <w:rPr>
          <w:rFonts w:ascii="楷体" w:hAnsi="楷体" w:eastAsia="楷体" w:cs="楷体"/>
          <w:sz w:val="32"/>
          <w:szCs w:val="32"/>
        </w:rPr>
      </w:pPr>
      <w:r>
        <w:rPr>
          <w:rFonts w:ascii="楷体" w:hAnsi="楷体" w:eastAsia="楷体" w:cs="楷体"/>
          <w:b/>
          <w:bCs/>
          <w:spacing w:val="3"/>
          <w:sz w:val="32"/>
          <w:szCs w:val="32"/>
        </w:rPr>
        <w:t>（一）健全群测群防体系，筑牢地灾防治防线</w:t>
      </w:r>
    </w:p>
    <w:p w14:paraId="73CC50B8">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8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市、县自然资源部门要牢固树立“宁可十防九空、不可失防</w:t>
      </w:r>
      <w:r>
        <w:rPr>
          <w:rFonts w:hint="eastAsia" w:ascii="仿宋_GB2312" w:hAnsi="仿宋_GB2312" w:eastAsia="仿宋_GB2312" w:cs="仿宋_GB2312"/>
          <w:spacing w:val="12"/>
          <w:sz w:val="32"/>
          <w:szCs w:val="32"/>
        </w:rPr>
        <w:t>万一”的底线思维，要进一步完善群测群防</w:t>
      </w:r>
      <w:r>
        <w:rPr>
          <w:rFonts w:hint="eastAsia" w:ascii="仿宋_GB2312" w:hAnsi="仿宋_GB2312" w:eastAsia="仿宋_GB2312" w:cs="仿宋_GB2312"/>
          <w:spacing w:val="11"/>
          <w:sz w:val="32"/>
          <w:szCs w:val="32"/>
        </w:rPr>
        <w:t>网络，将最新风险调</w:t>
      </w:r>
      <w:r>
        <w:rPr>
          <w:rFonts w:hint="eastAsia" w:ascii="仿宋_GB2312" w:hAnsi="仿宋_GB2312" w:eastAsia="仿宋_GB2312" w:cs="仿宋_GB2312"/>
          <w:spacing w:val="5"/>
          <w:sz w:val="32"/>
          <w:szCs w:val="32"/>
        </w:rPr>
        <w:t>查核定的隐患点全部纳入动态监管体系，把地质灾害隐患点的防灾责任和监测责任落实到具体责任人，加强对防灾责任人、群测</w:t>
      </w:r>
      <w:r>
        <w:rPr>
          <w:rFonts w:hint="eastAsia" w:ascii="仿宋_GB2312" w:hAnsi="仿宋_GB2312" w:eastAsia="仿宋_GB2312" w:cs="仿宋_GB2312"/>
          <w:spacing w:val="20"/>
          <w:sz w:val="32"/>
          <w:szCs w:val="32"/>
        </w:rPr>
        <w:t>群防员的专业培训。</w:t>
      </w:r>
      <w:r>
        <w:rPr>
          <w:rFonts w:hint="eastAsia" w:ascii="仿宋_GB2312" w:hAnsi="仿宋_GB2312" w:eastAsia="仿宋_GB2312" w:cs="仿宋_GB2312"/>
          <w:spacing w:val="20"/>
          <w:sz w:val="32"/>
          <w:szCs w:val="32"/>
          <w:lang w:val="en-US" w:eastAsia="zh-CN"/>
        </w:rPr>
        <w:t>不断</w:t>
      </w:r>
      <w:r>
        <w:rPr>
          <w:rFonts w:hint="eastAsia" w:ascii="仿宋_GB2312" w:hAnsi="仿宋_GB2312" w:eastAsia="仿宋_GB2312" w:cs="仿宋_GB2312"/>
          <w:spacing w:val="20"/>
          <w:sz w:val="32"/>
          <w:szCs w:val="32"/>
        </w:rPr>
        <w:t>完善“汛前排查—汛中巡查—汛后核查”</w:t>
      </w:r>
      <w:r>
        <w:rPr>
          <w:rFonts w:hint="eastAsia" w:ascii="仿宋_GB2312" w:hAnsi="仿宋_GB2312" w:eastAsia="仿宋_GB2312" w:cs="仿宋_GB2312"/>
          <w:spacing w:val="20"/>
          <w:sz w:val="32"/>
          <w:szCs w:val="32"/>
          <w:lang w:val="en-US" w:eastAsia="zh-CN"/>
        </w:rPr>
        <w:t>工作</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18"/>
          <w:sz w:val="32"/>
          <w:szCs w:val="32"/>
        </w:rPr>
        <w:t>推广“辽宁地灾防治”</w:t>
      </w:r>
      <w:r>
        <w:rPr>
          <w:rFonts w:hint="eastAsia" w:ascii="仿宋_GB2312" w:hAnsi="仿宋_GB2312" w:eastAsia="仿宋_GB2312" w:cs="仿宋_GB2312"/>
          <w:sz w:val="32"/>
          <w:szCs w:val="32"/>
        </w:rPr>
        <w:t>APP</w:t>
      </w:r>
      <w:r>
        <w:rPr>
          <w:rFonts w:hint="eastAsia" w:ascii="仿宋_GB2312" w:hAnsi="仿宋_GB2312" w:eastAsia="仿宋_GB2312" w:cs="仿宋_GB2312"/>
          <w:spacing w:val="18"/>
          <w:sz w:val="32"/>
          <w:szCs w:val="32"/>
        </w:rPr>
        <w:t>及“辽宁省地质灾害防治服务”微信公</w:t>
      </w:r>
      <w:r>
        <w:rPr>
          <w:rFonts w:hint="eastAsia" w:ascii="仿宋_GB2312" w:hAnsi="仿宋_GB2312" w:eastAsia="仿宋_GB2312" w:cs="仿宋_GB2312"/>
          <w:spacing w:val="5"/>
          <w:sz w:val="32"/>
          <w:szCs w:val="32"/>
        </w:rPr>
        <w:t>众号的使用，使群测群防员能在第一时间掌握预警信息，将预警</w:t>
      </w:r>
      <w:r>
        <w:rPr>
          <w:rFonts w:hint="eastAsia" w:ascii="仿宋_GB2312" w:hAnsi="仿宋_GB2312" w:eastAsia="仿宋_GB2312" w:cs="仿宋_GB2312"/>
          <w:spacing w:val="6"/>
          <w:sz w:val="32"/>
          <w:szCs w:val="32"/>
        </w:rPr>
        <w:t>信息传递到点到岗到人，发挥群测群防网络的</w:t>
      </w:r>
      <w:r>
        <w:rPr>
          <w:rFonts w:hint="eastAsia" w:ascii="仿宋_GB2312" w:hAnsi="仿宋_GB2312" w:eastAsia="仿宋_GB2312" w:cs="仿宋_GB2312"/>
          <w:spacing w:val="5"/>
          <w:sz w:val="32"/>
          <w:szCs w:val="32"/>
        </w:rPr>
        <w:t>作用。及时更新群</w:t>
      </w:r>
      <w:r>
        <w:rPr>
          <w:rFonts w:hint="eastAsia" w:ascii="仿宋_GB2312" w:hAnsi="仿宋_GB2312" w:eastAsia="仿宋_GB2312" w:cs="仿宋_GB2312"/>
          <w:spacing w:val="8"/>
          <w:sz w:val="32"/>
          <w:szCs w:val="32"/>
        </w:rPr>
        <w:t>测群防网络信息，为精准研判、精准处置提供坚实基础。</w:t>
      </w:r>
    </w:p>
    <w:p w14:paraId="4045A30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9" w:firstLineChars="200"/>
        <w:textAlignment w:val="baseline"/>
        <w:outlineLvl w:val="2"/>
        <w:rPr>
          <w:rFonts w:ascii="楷体" w:hAnsi="楷体" w:eastAsia="楷体" w:cs="楷体"/>
          <w:sz w:val="32"/>
          <w:szCs w:val="32"/>
        </w:rPr>
      </w:pPr>
      <w:r>
        <w:rPr>
          <w:rFonts w:ascii="楷体" w:hAnsi="楷体" w:eastAsia="楷体" w:cs="楷体"/>
          <w:b/>
          <w:bCs/>
          <w:spacing w:val="4"/>
          <w:sz w:val="32"/>
          <w:szCs w:val="32"/>
        </w:rPr>
        <w:t>（二）提升预警预报水平，实现风险精准防控</w:t>
      </w:r>
    </w:p>
    <w:p w14:paraId="095B5A4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2"/>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进一步提升我</w:t>
      </w:r>
      <w:r>
        <w:rPr>
          <w:rFonts w:hint="eastAsia" w:ascii="仿宋_GB2312" w:hAnsi="仿宋_GB2312" w:eastAsia="仿宋_GB2312" w:cs="仿宋_GB2312"/>
          <w:spacing w:val="7"/>
          <w:sz w:val="32"/>
          <w:szCs w:val="32"/>
          <w:lang w:val="en-US" w:eastAsia="zh-CN"/>
        </w:rPr>
        <w:t>市</w:t>
      </w:r>
      <w:r>
        <w:rPr>
          <w:rFonts w:hint="eastAsia" w:ascii="仿宋_GB2312" w:hAnsi="仿宋_GB2312" w:eastAsia="仿宋_GB2312" w:cs="仿宋_GB2312"/>
          <w:spacing w:val="7"/>
          <w:sz w:val="32"/>
          <w:szCs w:val="32"/>
        </w:rPr>
        <w:t>地质灾害风险预警能力水平，不断完善</w:t>
      </w:r>
      <w:r>
        <w:rPr>
          <w:rFonts w:hint="eastAsia" w:ascii="仿宋_GB2312" w:hAnsi="仿宋_GB2312" w:eastAsia="仿宋_GB2312" w:cs="仿宋_GB2312"/>
          <w:spacing w:val="11"/>
          <w:sz w:val="32"/>
          <w:szCs w:val="32"/>
        </w:rPr>
        <w:t>市、县地质灾害气象风险预警机制，大力推进市级“常规预</w:t>
      </w:r>
      <w:r>
        <w:rPr>
          <w:rFonts w:hint="eastAsia" w:ascii="仿宋_GB2312" w:hAnsi="仿宋_GB2312" w:eastAsia="仿宋_GB2312" w:cs="仿宋_GB2312"/>
          <w:spacing w:val="6"/>
          <w:sz w:val="32"/>
          <w:szCs w:val="32"/>
        </w:rPr>
        <w:t>警+短临预警”综合预报工作，加强“人防技防协同”，</w:t>
      </w:r>
      <w:r>
        <w:rPr>
          <w:rFonts w:hint="eastAsia" w:ascii="仿宋_GB2312" w:hAnsi="仿宋_GB2312" w:eastAsia="仿宋_GB2312" w:cs="仿宋_GB2312"/>
          <w:spacing w:val="5"/>
          <w:sz w:val="32"/>
          <w:szCs w:val="32"/>
        </w:rPr>
        <w:t>延长预警时效，加密预警频次，提升预警精准度</w:t>
      </w:r>
      <w:r>
        <w:rPr>
          <w:rFonts w:hint="eastAsia" w:ascii="仿宋_GB2312" w:hAnsi="仿宋_GB2312" w:eastAsia="仿宋_GB2312" w:cs="仿宋_GB2312"/>
          <w:spacing w:val="7"/>
          <w:sz w:val="32"/>
          <w:szCs w:val="32"/>
        </w:rPr>
        <w:t>。</w:t>
      </w:r>
    </w:p>
    <w:p w14:paraId="1BF9165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2"/>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各级自然资源、应急管理、水利、气象等部门要密切分工协作，</w:t>
      </w:r>
      <w:r>
        <w:rPr>
          <w:rFonts w:hint="eastAsia" w:ascii="仿宋_GB2312" w:hAnsi="仿宋_GB2312" w:eastAsia="仿宋_GB2312" w:cs="仿宋_GB2312"/>
          <w:spacing w:val="-3"/>
          <w:sz w:val="32"/>
          <w:szCs w:val="32"/>
        </w:rPr>
        <w:t>完善预报会商和预警联动机制，加强强降雨过程的实时预警，</w:t>
      </w:r>
      <w:r>
        <w:rPr>
          <w:rFonts w:hint="eastAsia" w:ascii="仿宋_GB2312" w:hAnsi="仿宋_GB2312" w:eastAsia="仿宋_GB2312" w:cs="仿宋_GB2312"/>
          <w:spacing w:val="5"/>
          <w:sz w:val="32"/>
          <w:szCs w:val="32"/>
        </w:rPr>
        <w:t>提高灾前预警时效性与准确性，提升防灾预判能力，共同做好地质灾害气象风险预警工作，及时传递预警信息到防灾一线，科学</w:t>
      </w:r>
      <w:r>
        <w:rPr>
          <w:rFonts w:hint="eastAsia" w:ascii="仿宋_GB2312" w:hAnsi="仿宋_GB2312" w:eastAsia="仿宋_GB2312" w:cs="仿宋_GB2312"/>
          <w:spacing w:val="9"/>
          <w:sz w:val="32"/>
          <w:szCs w:val="32"/>
        </w:rPr>
        <w:t>指导防灾避险，切实强化预警和应急响应联</w:t>
      </w:r>
      <w:r>
        <w:rPr>
          <w:rFonts w:hint="eastAsia" w:ascii="仿宋_GB2312" w:hAnsi="仿宋_GB2312" w:eastAsia="仿宋_GB2312" w:cs="仿宋_GB2312"/>
          <w:spacing w:val="8"/>
          <w:sz w:val="32"/>
          <w:szCs w:val="32"/>
        </w:rPr>
        <w:t>动。</w:t>
      </w:r>
    </w:p>
    <w:p w14:paraId="03B0FCF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9" w:firstLineChars="200"/>
        <w:textAlignment w:val="baseline"/>
        <w:outlineLvl w:val="2"/>
        <w:rPr>
          <w:rFonts w:ascii="楷体" w:hAnsi="楷体" w:eastAsia="楷体" w:cs="楷体"/>
          <w:sz w:val="32"/>
          <w:szCs w:val="32"/>
        </w:rPr>
      </w:pPr>
      <w:r>
        <w:rPr>
          <w:rFonts w:ascii="楷体" w:hAnsi="楷体" w:eastAsia="楷体" w:cs="楷体"/>
          <w:b/>
          <w:bCs/>
          <w:spacing w:val="4"/>
          <w:sz w:val="32"/>
          <w:szCs w:val="32"/>
        </w:rPr>
        <w:t>（三）强化预警响应机制，规范避险转移管理</w:t>
      </w:r>
    </w:p>
    <w:p w14:paraId="379EF0B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8"/>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各级自然资源主管部门应根据区域灾害特点，在接收预警后</w:t>
      </w:r>
      <w:r>
        <w:rPr>
          <w:rFonts w:hint="eastAsia" w:ascii="仿宋_GB2312" w:hAnsi="仿宋_GB2312" w:eastAsia="仿宋_GB2312" w:cs="仿宋_GB2312"/>
          <w:spacing w:val="9"/>
          <w:sz w:val="32"/>
          <w:szCs w:val="32"/>
        </w:rPr>
        <w:t>及时启动动态调整的响应级别，指导乡镇（街道）和村（社区）</w:t>
      </w:r>
      <w:r>
        <w:rPr>
          <w:rFonts w:hint="eastAsia" w:ascii="仿宋_GB2312" w:hAnsi="仿宋_GB2312" w:eastAsia="仿宋_GB2312" w:cs="仿宋_GB2312"/>
          <w:spacing w:val="6"/>
          <w:sz w:val="32"/>
          <w:szCs w:val="32"/>
        </w:rPr>
        <w:t>按预案开展避险转移工作。在降雨来临前、发现</w:t>
      </w:r>
      <w:r>
        <w:rPr>
          <w:rFonts w:hint="eastAsia" w:ascii="仿宋_GB2312" w:hAnsi="仿宋_GB2312" w:eastAsia="仿宋_GB2312" w:cs="仿宋_GB2312"/>
          <w:spacing w:val="5"/>
          <w:sz w:val="32"/>
          <w:szCs w:val="32"/>
        </w:rPr>
        <w:t>成灾迹象或风险研判不明时，</w:t>
      </w:r>
      <w:r>
        <w:rPr>
          <w:rFonts w:hint="eastAsia" w:ascii="仿宋_GB2312" w:hAnsi="仿宋_GB2312" w:eastAsia="仿宋_GB2312" w:cs="仿宋_GB2312"/>
          <w:color w:val="auto"/>
          <w:spacing w:val="5"/>
          <w:sz w:val="32"/>
          <w:szCs w:val="32"/>
          <w:highlight w:val="none"/>
          <w:lang w:val="en-US" w:eastAsia="zh-CN"/>
        </w:rPr>
        <w:t>属地政府</w:t>
      </w:r>
      <w:r>
        <w:rPr>
          <w:rFonts w:hint="eastAsia" w:ascii="仿宋_GB2312" w:hAnsi="仿宋_GB2312" w:eastAsia="仿宋_GB2312" w:cs="仿宋_GB2312"/>
          <w:spacing w:val="5"/>
          <w:sz w:val="32"/>
          <w:szCs w:val="32"/>
        </w:rPr>
        <w:t>要果断组织受威胁群众提前避险撤离，确保转移安</w:t>
      </w:r>
      <w:r>
        <w:rPr>
          <w:rFonts w:hint="eastAsia" w:ascii="仿宋_GB2312" w:hAnsi="仿宋_GB2312" w:eastAsia="仿宋_GB2312" w:cs="仿宋_GB2312"/>
          <w:spacing w:val="7"/>
          <w:sz w:val="32"/>
          <w:szCs w:val="32"/>
        </w:rPr>
        <w:t>置工作“应转尽转、应撤尽撤”，做到不漏一点一区、不落一户一</w:t>
      </w:r>
      <w:r>
        <w:rPr>
          <w:rFonts w:hint="eastAsia" w:ascii="仿宋_GB2312" w:hAnsi="仿宋_GB2312" w:eastAsia="仿宋_GB2312" w:cs="仿宋_GB2312"/>
          <w:spacing w:val="6"/>
          <w:sz w:val="32"/>
          <w:szCs w:val="32"/>
        </w:rPr>
        <w:t>人。同时加强撤离人员管控，严格执行“不安全、不返回”原则，</w:t>
      </w:r>
      <w:r>
        <w:rPr>
          <w:rFonts w:hint="eastAsia" w:ascii="仿宋_GB2312" w:hAnsi="仿宋_GB2312" w:eastAsia="仿宋_GB2312" w:cs="仿宋_GB2312"/>
          <w:spacing w:val="9"/>
          <w:sz w:val="32"/>
          <w:szCs w:val="32"/>
        </w:rPr>
        <w:t>严防人员擅自回流造成伤亡，确保防控工作全覆盖、无死角。</w:t>
      </w:r>
    </w:p>
    <w:p w14:paraId="5FC4031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highlight w:val="none"/>
        </w:rPr>
        <w:t>县级自然资源主管部门要切实履行指导职责，协助乡镇</w:t>
      </w:r>
      <w:r>
        <w:rPr>
          <w:rFonts w:hint="eastAsia" w:ascii="仿宋_GB2312" w:hAnsi="仿宋_GB2312" w:eastAsia="仿宋_GB2312" w:cs="仿宋_GB2312"/>
          <w:spacing w:val="4"/>
          <w:sz w:val="32"/>
          <w:szCs w:val="32"/>
          <w:highlight w:val="none"/>
        </w:rPr>
        <w:t>（街</w:t>
      </w:r>
      <w:r>
        <w:rPr>
          <w:rFonts w:hint="eastAsia" w:ascii="仿宋_GB2312" w:hAnsi="仿宋_GB2312" w:eastAsia="仿宋_GB2312" w:cs="仿宋_GB2312"/>
          <w:spacing w:val="5"/>
          <w:sz w:val="32"/>
          <w:szCs w:val="32"/>
          <w:highlight w:val="none"/>
        </w:rPr>
        <w:t>道）人民政府做好撤离人员管控，依据</w:t>
      </w:r>
      <w:r>
        <w:rPr>
          <w:rFonts w:hint="eastAsia" w:ascii="仿宋_GB2312" w:hAnsi="仿宋_GB2312" w:eastAsia="仿宋_GB2312" w:cs="仿宋_GB2312"/>
          <w:spacing w:val="5"/>
          <w:sz w:val="32"/>
          <w:szCs w:val="32"/>
          <w:highlight w:val="none"/>
          <w:lang w:val="en-US" w:eastAsia="zh-CN"/>
        </w:rPr>
        <w:t>当地</w:t>
      </w:r>
      <w:r>
        <w:rPr>
          <w:rFonts w:hint="eastAsia" w:ascii="仿宋_GB2312" w:hAnsi="仿宋_GB2312" w:eastAsia="仿宋_GB2312" w:cs="仿宋_GB2312"/>
          <w:spacing w:val="5"/>
          <w:sz w:val="32"/>
          <w:szCs w:val="32"/>
          <w:highlight w:val="none"/>
        </w:rPr>
        <w:t>政府提供的转移安置</w:t>
      </w:r>
      <w:r>
        <w:rPr>
          <w:rFonts w:hint="eastAsia" w:ascii="仿宋_GB2312" w:hAnsi="仿宋_GB2312" w:eastAsia="仿宋_GB2312" w:cs="仿宋_GB2312"/>
          <w:spacing w:val="6"/>
          <w:sz w:val="32"/>
          <w:szCs w:val="32"/>
          <w:highlight w:val="none"/>
        </w:rPr>
        <w:t>人员信息及“一表两卡”资料，对受地质灾害威胁群众的避险转移</w:t>
      </w:r>
      <w:r>
        <w:rPr>
          <w:rFonts w:hint="eastAsia" w:ascii="仿宋_GB2312" w:hAnsi="仿宋_GB2312" w:eastAsia="仿宋_GB2312" w:cs="仿宋_GB2312"/>
          <w:spacing w:val="5"/>
          <w:sz w:val="32"/>
          <w:szCs w:val="32"/>
          <w:highlight w:val="none"/>
        </w:rPr>
        <w:t>情况进行全面检查和重点抽查。</w:t>
      </w:r>
      <w:r>
        <w:rPr>
          <w:rFonts w:hint="eastAsia" w:ascii="仿宋_GB2312" w:hAnsi="仿宋_GB2312" w:eastAsia="仿宋_GB2312" w:cs="仿宋_GB2312"/>
          <w:spacing w:val="5"/>
          <w:sz w:val="32"/>
          <w:szCs w:val="32"/>
        </w:rPr>
        <w:t>地质灾害预警响应解除后，由群测群防员及专业技术人员对隐患点及风险区开展全面排查，科学评估返回条件。对现场情况复杂、难以确定能否返回的，</w:t>
      </w:r>
      <w:r>
        <w:rPr>
          <w:rFonts w:hint="eastAsia" w:ascii="仿宋_GB2312" w:hAnsi="仿宋_GB2312" w:eastAsia="仿宋_GB2312" w:cs="仿宋_GB2312"/>
          <w:spacing w:val="5"/>
          <w:sz w:val="32"/>
          <w:szCs w:val="32"/>
          <w:highlight w:val="none"/>
        </w:rPr>
        <w:t>乡镇</w:t>
      </w:r>
      <w:r>
        <w:rPr>
          <w:rFonts w:hint="eastAsia" w:ascii="仿宋_GB2312" w:hAnsi="仿宋_GB2312" w:eastAsia="仿宋_GB2312" w:cs="仿宋_GB2312"/>
          <w:spacing w:val="4"/>
          <w:sz w:val="32"/>
          <w:szCs w:val="32"/>
          <w:highlight w:val="none"/>
        </w:rPr>
        <w:t>（街</w:t>
      </w:r>
      <w:r>
        <w:rPr>
          <w:rFonts w:hint="eastAsia" w:ascii="仿宋_GB2312" w:hAnsi="仿宋_GB2312" w:eastAsia="仿宋_GB2312" w:cs="仿宋_GB2312"/>
          <w:spacing w:val="5"/>
          <w:sz w:val="32"/>
          <w:szCs w:val="32"/>
          <w:highlight w:val="none"/>
        </w:rPr>
        <w:t>道）</w:t>
      </w:r>
      <w:r>
        <w:rPr>
          <w:rFonts w:hint="eastAsia" w:ascii="仿宋_GB2312" w:hAnsi="仿宋_GB2312" w:eastAsia="仿宋_GB2312" w:cs="仿宋_GB2312"/>
          <w:spacing w:val="5"/>
          <w:sz w:val="32"/>
          <w:szCs w:val="32"/>
        </w:rPr>
        <w:t>应及时上报县级自然资源主管部门，由专业技术人员或专家组提供技术</w:t>
      </w:r>
      <w:r>
        <w:rPr>
          <w:rFonts w:hint="eastAsia" w:ascii="仿宋_GB2312" w:hAnsi="仿宋_GB2312" w:eastAsia="仿宋_GB2312" w:cs="仿宋_GB2312"/>
          <w:spacing w:val="9"/>
          <w:sz w:val="32"/>
          <w:szCs w:val="32"/>
        </w:rPr>
        <w:t>咨询意见，持续跟踪地质环境变化，切实保障群众生命安全。</w:t>
      </w:r>
    </w:p>
    <w:p w14:paraId="65F3D15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5" w:firstLineChars="200"/>
        <w:textAlignment w:val="baseline"/>
        <w:outlineLvl w:val="2"/>
        <w:rPr>
          <w:rFonts w:ascii="楷体" w:hAnsi="楷体" w:eastAsia="楷体" w:cs="楷体"/>
          <w:sz w:val="32"/>
          <w:szCs w:val="32"/>
        </w:rPr>
      </w:pPr>
      <w:r>
        <w:rPr>
          <w:rFonts w:ascii="楷体" w:hAnsi="楷体" w:eastAsia="楷体" w:cs="楷体"/>
          <w:b/>
          <w:bCs/>
          <w:spacing w:val="3"/>
          <w:sz w:val="32"/>
          <w:szCs w:val="32"/>
        </w:rPr>
        <w:t>（四）及时补齐短板，细化汛期防灾工作</w:t>
      </w:r>
    </w:p>
    <w:p w14:paraId="59AFC7F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6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position w:val="1"/>
          <w:sz w:val="32"/>
          <w:szCs w:val="32"/>
        </w:rPr>
        <w:t>1.组织开展汛期地质灾害防治巡查</w:t>
      </w:r>
    </w:p>
    <w:p w14:paraId="27382CE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为加强基层地质灾害防治工作，保障</w:t>
      </w:r>
      <w:r>
        <w:rPr>
          <w:rFonts w:hint="eastAsia" w:ascii="仿宋_GB2312" w:hAnsi="仿宋_GB2312" w:eastAsia="仿宋_GB2312" w:cs="仿宋_GB2312"/>
          <w:spacing w:val="4"/>
          <w:sz w:val="32"/>
          <w:szCs w:val="32"/>
          <w:lang w:val="en-US" w:eastAsia="zh-CN"/>
        </w:rPr>
        <w:t>各</w:t>
      </w:r>
      <w:r>
        <w:rPr>
          <w:rFonts w:hint="eastAsia" w:ascii="仿宋_GB2312" w:hAnsi="仿宋_GB2312" w:eastAsia="仿宋_GB2312" w:cs="仿宋_GB2312"/>
          <w:spacing w:val="5"/>
          <w:sz w:val="32"/>
          <w:szCs w:val="32"/>
        </w:rPr>
        <w:t>县（市）、区</w:t>
      </w:r>
      <w:r>
        <w:rPr>
          <w:rFonts w:hint="eastAsia" w:ascii="仿宋_GB2312" w:hAnsi="仿宋_GB2312" w:eastAsia="仿宋_GB2312" w:cs="仿宋_GB2312"/>
          <w:spacing w:val="4"/>
          <w:sz w:val="32"/>
          <w:szCs w:val="32"/>
        </w:rPr>
        <w:t>防灾减灾措施</w:t>
      </w:r>
      <w:r>
        <w:rPr>
          <w:rFonts w:hint="eastAsia" w:ascii="仿宋_GB2312" w:hAnsi="仿宋_GB2312" w:eastAsia="仿宋_GB2312" w:cs="仿宋_GB2312"/>
          <w:spacing w:val="3"/>
          <w:sz w:val="32"/>
          <w:szCs w:val="32"/>
        </w:rPr>
        <w:t>落实到位，</w:t>
      </w:r>
      <w:r>
        <w:rPr>
          <w:rFonts w:hint="eastAsia" w:ascii="仿宋_GB2312" w:hAnsi="仿宋_GB2312" w:eastAsia="仿宋_GB2312" w:cs="仿宋_GB2312"/>
          <w:spacing w:val="3"/>
          <w:sz w:val="32"/>
          <w:szCs w:val="32"/>
          <w:lang w:val="en-US" w:eastAsia="zh-CN"/>
        </w:rPr>
        <w:t>市自然资源局</w:t>
      </w:r>
      <w:r>
        <w:rPr>
          <w:rFonts w:hint="eastAsia" w:ascii="仿宋_GB2312" w:hAnsi="仿宋_GB2312" w:eastAsia="仿宋_GB2312" w:cs="仿宋_GB2312"/>
          <w:spacing w:val="3"/>
          <w:sz w:val="32"/>
          <w:szCs w:val="32"/>
        </w:rPr>
        <w:t>组织巡查组开展全</w:t>
      </w:r>
      <w:r>
        <w:rPr>
          <w:rFonts w:hint="eastAsia" w:ascii="仿宋_GB2312" w:hAnsi="仿宋_GB2312" w:eastAsia="仿宋_GB2312" w:cs="仿宋_GB2312"/>
          <w:spacing w:val="3"/>
          <w:sz w:val="32"/>
          <w:szCs w:val="32"/>
          <w:lang w:val="en-US" w:eastAsia="zh-CN"/>
        </w:rPr>
        <w:t>市</w:t>
      </w:r>
      <w:r>
        <w:rPr>
          <w:rFonts w:hint="eastAsia" w:ascii="仿宋_GB2312" w:hAnsi="仿宋_GB2312" w:eastAsia="仿宋_GB2312" w:cs="仿宋_GB2312"/>
          <w:spacing w:val="3"/>
          <w:sz w:val="32"/>
          <w:szCs w:val="32"/>
        </w:rPr>
        <w:t>汛</w:t>
      </w:r>
      <w:r>
        <w:rPr>
          <w:rFonts w:hint="eastAsia" w:ascii="仿宋_GB2312" w:hAnsi="仿宋_GB2312" w:eastAsia="仿宋_GB2312" w:cs="仿宋_GB2312"/>
          <w:spacing w:val="5"/>
          <w:sz w:val="32"/>
          <w:szCs w:val="32"/>
        </w:rPr>
        <w:t>期地质灾害防治的巡查督导工作。各县（市）、区</w:t>
      </w:r>
      <w:r>
        <w:rPr>
          <w:rFonts w:hint="eastAsia" w:ascii="仿宋_GB2312" w:hAnsi="仿宋_GB2312" w:eastAsia="仿宋_GB2312" w:cs="仿宋_GB2312"/>
          <w:spacing w:val="6"/>
          <w:sz w:val="32"/>
          <w:szCs w:val="32"/>
        </w:rPr>
        <w:t>严格执行地质灾害防治“三查”制度，确保</w:t>
      </w:r>
      <w:r>
        <w:rPr>
          <w:rFonts w:hint="eastAsia" w:ascii="仿宋_GB2312" w:hAnsi="仿宋_GB2312" w:eastAsia="仿宋_GB2312" w:cs="仿宋_GB2312"/>
          <w:spacing w:val="5"/>
          <w:sz w:val="32"/>
          <w:szCs w:val="32"/>
        </w:rPr>
        <w:t>隐患排查</w:t>
      </w:r>
      <w:r>
        <w:rPr>
          <w:rFonts w:hint="eastAsia" w:ascii="仿宋_GB2312" w:hAnsi="仿宋_GB2312" w:eastAsia="仿宋_GB2312" w:cs="仿宋_GB2312"/>
          <w:spacing w:val="5"/>
          <w:sz w:val="32"/>
          <w:szCs w:val="32"/>
          <w:lang w:val="en-US" w:eastAsia="zh-CN"/>
        </w:rPr>
        <w:t>工作</w:t>
      </w:r>
      <w:r>
        <w:rPr>
          <w:rFonts w:hint="eastAsia" w:ascii="仿宋_GB2312" w:hAnsi="仿宋_GB2312" w:eastAsia="仿宋_GB2312" w:cs="仿宋_GB2312"/>
          <w:spacing w:val="5"/>
          <w:sz w:val="32"/>
          <w:szCs w:val="32"/>
        </w:rPr>
        <w:t>贯穿汛期。重点针对人口密集区、重大基础设施周边、工矿企业、在建工程等高风险区域开展拉网式排查，切实筑</w:t>
      </w:r>
      <w:r>
        <w:rPr>
          <w:rFonts w:hint="eastAsia" w:ascii="仿宋_GB2312" w:hAnsi="仿宋_GB2312" w:eastAsia="仿宋_GB2312" w:cs="仿宋_GB2312"/>
          <w:spacing w:val="7"/>
          <w:sz w:val="32"/>
          <w:szCs w:val="32"/>
        </w:rPr>
        <w:t>牢汛期地质灾害防治防线。</w:t>
      </w:r>
    </w:p>
    <w:p w14:paraId="7253657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position w:val="1"/>
          <w:sz w:val="32"/>
          <w:szCs w:val="32"/>
        </w:rPr>
        <w:t>2.加强汛期值班值守</w:t>
      </w:r>
    </w:p>
    <w:p w14:paraId="296751D8">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2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0"/>
          <w:position w:val="1"/>
          <w:sz w:val="32"/>
          <w:szCs w:val="32"/>
        </w:rPr>
        <w:t>汛期各级自然资源主管部门严格执行24小时值班值守制</w:t>
      </w:r>
      <w:r>
        <w:rPr>
          <w:rFonts w:hint="eastAsia" w:ascii="仿宋_GB2312" w:hAnsi="仿宋_GB2312" w:eastAsia="仿宋_GB2312" w:cs="仿宋_GB2312"/>
          <w:spacing w:val="5"/>
          <w:sz w:val="32"/>
          <w:szCs w:val="32"/>
        </w:rPr>
        <w:t>度，细化领导带班、专家驻守、专人值守保障措施。严格执行信息报送制度，及时、规范、准确报送地质灾害信息。各</w:t>
      </w:r>
      <w:r>
        <w:rPr>
          <w:rFonts w:hint="eastAsia" w:ascii="仿宋_GB2312" w:hAnsi="仿宋_GB2312" w:eastAsia="仿宋_GB2312" w:cs="仿宋_GB2312"/>
          <w:spacing w:val="5"/>
          <w:sz w:val="32"/>
          <w:szCs w:val="32"/>
          <w:lang w:val="en-US" w:eastAsia="zh-CN"/>
        </w:rPr>
        <w:t>县（市）区</w:t>
      </w:r>
      <w:r>
        <w:rPr>
          <w:rFonts w:hint="eastAsia" w:ascii="仿宋_GB2312" w:hAnsi="仿宋_GB2312" w:eastAsia="仿宋_GB2312" w:cs="仿宋_GB2312"/>
          <w:spacing w:val="5"/>
          <w:sz w:val="32"/>
          <w:szCs w:val="32"/>
        </w:rPr>
        <w:t>将2</w:t>
      </w:r>
      <w:r>
        <w:rPr>
          <w:rFonts w:hint="eastAsia" w:ascii="仿宋_GB2312" w:hAnsi="仿宋_GB2312" w:eastAsia="仿宋_GB2312" w:cs="仿宋_GB2312"/>
          <w:spacing w:val="4"/>
          <w:sz w:val="32"/>
          <w:szCs w:val="32"/>
        </w:rPr>
        <w:t>025</w:t>
      </w:r>
      <w:r>
        <w:rPr>
          <w:rFonts w:hint="eastAsia" w:ascii="仿宋_GB2312" w:hAnsi="仿宋_GB2312" w:eastAsia="仿宋_GB2312" w:cs="仿宋_GB2312"/>
          <w:spacing w:val="5"/>
          <w:sz w:val="32"/>
          <w:szCs w:val="32"/>
        </w:rPr>
        <w:t>年汛期值班电话一览表（格式见附件）上报</w:t>
      </w:r>
      <w:r>
        <w:rPr>
          <w:rFonts w:hint="eastAsia" w:ascii="仿宋_GB2312" w:hAnsi="仿宋_GB2312" w:eastAsia="仿宋_GB2312" w:cs="仿宋_GB2312"/>
          <w:spacing w:val="5"/>
          <w:sz w:val="32"/>
          <w:szCs w:val="32"/>
          <w:lang w:val="en-US" w:eastAsia="zh-CN"/>
        </w:rPr>
        <w:t>市自然资源局</w:t>
      </w:r>
      <w:r>
        <w:rPr>
          <w:rFonts w:hint="eastAsia" w:ascii="仿宋_GB2312" w:hAnsi="仿宋_GB2312" w:eastAsia="仿宋_GB2312" w:cs="仿宋_GB2312"/>
          <w:spacing w:val="5"/>
          <w:sz w:val="32"/>
          <w:szCs w:val="32"/>
        </w:rPr>
        <w:t>，各级汛期值班电话将作为地质灾害报警电话向社会公布，便于及时报</w:t>
      </w:r>
      <w:r>
        <w:rPr>
          <w:rFonts w:hint="eastAsia" w:ascii="仿宋_GB2312" w:hAnsi="仿宋_GB2312" w:eastAsia="仿宋_GB2312" w:cs="仿宋_GB2312"/>
          <w:spacing w:val="1"/>
          <w:sz w:val="32"/>
          <w:szCs w:val="32"/>
        </w:rPr>
        <w:t>险。</w:t>
      </w:r>
      <w:r>
        <w:rPr>
          <w:rFonts w:hint="eastAsia" w:ascii="仿宋_GB2312" w:hAnsi="仿宋_GB2312" w:eastAsia="仿宋_GB2312" w:cs="仿宋_GB2312"/>
          <w:spacing w:val="1"/>
          <w:sz w:val="32"/>
          <w:szCs w:val="32"/>
          <w:lang w:val="en-US" w:eastAsia="zh-CN"/>
        </w:rPr>
        <w:t>市</w:t>
      </w:r>
      <w:r>
        <w:rPr>
          <w:rFonts w:hint="eastAsia" w:ascii="仿宋_GB2312" w:hAnsi="仿宋_GB2312" w:eastAsia="仿宋_GB2312" w:cs="仿宋_GB2312"/>
          <w:spacing w:val="1"/>
          <w:sz w:val="32"/>
          <w:szCs w:val="32"/>
        </w:rPr>
        <w:t>级汛期值班电话：</w:t>
      </w:r>
      <w:r>
        <w:rPr>
          <w:rFonts w:hint="eastAsia" w:ascii="仿宋_GB2312" w:hAnsi="仿宋_GB2312" w:eastAsia="仿宋_GB2312" w:cs="仿宋_GB2312"/>
          <w:spacing w:val="1"/>
          <w:sz w:val="32"/>
          <w:szCs w:val="32"/>
          <w:lang w:val="en-US" w:eastAsia="zh-CN"/>
        </w:rPr>
        <w:t>0417</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2661105</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0417</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2665511</w:t>
      </w:r>
      <w:r>
        <w:rPr>
          <w:rFonts w:hint="eastAsia" w:ascii="仿宋_GB2312" w:hAnsi="仿宋_GB2312" w:eastAsia="仿宋_GB2312" w:cs="仿宋_GB2312"/>
          <w:spacing w:val="1"/>
          <w:sz w:val="32"/>
          <w:szCs w:val="32"/>
        </w:rPr>
        <w:t>（传</w:t>
      </w:r>
      <w:r>
        <w:rPr>
          <w:rFonts w:hint="eastAsia" w:ascii="仿宋_GB2312" w:hAnsi="仿宋_GB2312" w:eastAsia="仿宋_GB2312" w:cs="仿宋_GB2312"/>
          <w:sz w:val="32"/>
          <w:szCs w:val="32"/>
        </w:rPr>
        <w:t>真）。</w:t>
      </w:r>
    </w:p>
    <w:p w14:paraId="48969DA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7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position w:val="1"/>
          <w:sz w:val="32"/>
          <w:szCs w:val="32"/>
        </w:rPr>
        <w:t>3.及时开展汛期地质灾害气象风险预警</w:t>
      </w:r>
    </w:p>
    <w:p w14:paraId="21AF510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3"/>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6</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0"/>
          <w:sz w:val="32"/>
          <w:szCs w:val="32"/>
        </w:rPr>
        <w:t>9月份开展汛期</w:t>
      </w:r>
      <w:r>
        <w:rPr>
          <w:rFonts w:hint="eastAsia" w:ascii="仿宋_GB2312" w:hAnsi="仿宋_GB2312" w:eastAsia="仿宋_GB2312" w:cs="仿宋_GB2312"/>
          <w:spacing w:val="10"/>
          <w:sz w:val="32"/>
          <w:szCs w:val="32"/>
          <w:lang w:val="en-US" w:eastAsia="zh-CN"/>
        </w:rPr>
        <w:t>市</w:t>
      </w:r>
      <w:r>
        <w:rPr>
          <w:rFonts w:hint="eastAsia" w:ascii="仿宋_GB2312" w:hAnsi="仿宋_GB2312" w:eastAsia="仿宋_GB2312" w:cs="仿宋_GB2312"/>
          <w:spacing w:val="10"/>
          <w:sz w:val="32"/>
          <w:szCs w:val="32"/>
        </w:rPr>
        <w:t>级地质灾害气象风险预</w:t>
      </w:r>
      <w:r>
        <w:rPr>
          <w:rFonts w:hint="eastAsia" w:ascii="仿宋_GB2312" w:hAnsi="仿宋_GB2312" w:eastAsia="仿宋_GB2312" w:cs="仿宋_GB2312"/>
          <w:spacing w:val="9"/>
          <w:sz w:val="32"/>
          <w:szCs w:val="32"/>
        </w:rPr>
        <w:t>警。由</w:t>
      </w:r>
      <w:r>
        <w:rPr>
          <w:rFonts w:hint="eastAsia" w:ascii="仿宋_GB2312" w:hAnsi="仿宋_GB2312" w:eastAsia="仿宋_GB2312" w:cs="仿宋_GB2312"/>
          <w:spacing w:val="9"/>
          <w:sz w:val="32"/>
          <w:szCs w:val="32"/>
          <w:lang w:val="en-US" w:eastAsia="zh-CN"/>
        </w:rPr>
        <w:t>市</w:t>
      </w:r>
      <w:r>
        <w:rPr>
          <w:rFonts w:hint="eastAsia" w:ascii="仿宋_GB2312" w:hAnsi="仿宋_GB2312" w:eastAsia="仿宋_GB2312" w:cs="仿宋_GB2312"/>
          <w:spacing w:val="9"/>
          <w:sz w:val="32"/>
          <w:szCs w:val="32"/>
        </w:rPr>
        <w:t>自然</w:t>
      </w:r>
      <w:r>
        <w:rPr>
          <w:rFonts w:hint="eastAsia" w:ascii="仿宋_GB2312" w:hAnsi="仿宋_GB2312" w:eastAsia="仿宋_GB2312" w:cs="仿宋_GB2312"/>
          <w:spacing w:val="17"/>
          <w:sz w:val="32"/>
          <w:szCs w:val="32"/>
        </w:rPr>
        <w:t>资源</w:t>
      </w:r>
      <w:r>
        <w:rPr>
          <w:rFonts w:hint="eastAsia" w:ascii="仿宋_GB2312" w:hAnsi="仿宋_GB2312" w:eastAsia="仿宋_GB2312" w:cs="仿宋_GB2312"/>
          <w:spacing w:val="17"/>
          <w:sz w:val="32"/>
          <w:szCs w:val="32"/>
          <w:lang w:val="en-US" w:eastAsia="zh-CN"/>
        </w:rPr>
        <w:t>局</w:t>
      </w:r>
      <w:r>
        <w:rPr>
          <w:rFonts w:hint="eastAsia" w:ascii="仿宋_GB2312" w:hAnsi="仿宋_GB2312" w:eastAsia="仿宋_GB2312" w:cs="仿宋_GB2312"/>
          <w:spacing w:val="17"/>
          <w:sz w:val="32"/>
          <w:szCs w:val="32"/>
        </w:rPr>
        <w:t>会同</w:t>
      </w:r>
      <w:r>
        <w:rPr>
          <w:rFonts w:hint="eastAsia" w:ascii="仿宋_GB2312" w:hAnsi="仿宋_GB2312" w:eastAsia="仿宋_GB2312" w:cs="仿宋_GB2312"/>
          <w:spacing w:val="17"/>
          <w:sz w:val="32"/>
          <w:szCs w:val="32"/>
          <w:lang w:val="en-US" w:eastAsia="zh-CN"/>
        </w:rPr>
        <w:t>市</w:t>
      </w:r>
      <w:r>
        <w:rPr>
          <w:rFonts w:hint="eastAsia" w:ascii="仿宋_GB2312" w:hAnsi="仿宋_GB2312" w:eastAsia="仿宋_GB2312" w:cs="仿宋_GB2312"/>
          <w:spacing w:val="17"/>
          <w:sz w:val="32"/>
          <w:szCs w:val="32"/>
        </w:rPr>
        <w:t>气象局联合发布，预警结果及时报告</w:t>
      </w:r>
      <w:r>
        <w:rPr>
          <w:rFonts w:hint="eastAsia" w:ascii="仿宋_GB2312" w:hAnsi="仿宋_GB2312" w:eastAsia="仿宋_GB2312" w:cs="仿宋_GB2312"/>
          <w:spacing w:val="17"/>
          <w:sz w:val="32"/>
          <w:szCs w:val="32"/>
          <w:lang w:val="en-US" w:eastAsia="zh-CN"/>
        </w:rPr>
        <w:t>市</w:t>
      </w:r>
      <w:r>
        <w:rPr>
          <w:rFonts w:hint="eastAsia" w:ascii="仿宋_GB2312" w:hAnsi="仿宋_GB2312" w:eastAsia="仿宋_GB2312" w:cs="仿宋_GB2312"/>
          <w:spacing w:val="17"/>
          <w:sz w:val="32"/>
          <w:szCs w:val="32"/>
        </w:rPr>
        <w:t>级相关部</w:t>
      </w:r>
      <w:r>
        <w:rPr>
          <w:rFonts w:hint="eastAsia" w:ascii="仿宋_GB2312" w:hAnsi="仿宋_GB2312" w:eastAsia="仿宋_GB2312" w:cs="仿宋_GB2312"/>
          <w:spacing w:val="5"/>
          <w:sz w:val="32"/>
          <w:szCs w:val="32"/>
        </w:rPr>
        <w:t>门，并下发至预报范围内的各</w:t>
      </w:r>
      <w:r>
        <w:rPr>
          <w:rFonts w:hint="eastAsia" w:ascii="仿宋_GB2312" w:hAnsi="仿宋_GB2312" w:eastAsia="仿宋_GB2312" w:cs="仿宋_GB2312"/>
          <w:spacing w:val="5"/>
          <w:sz w:val="32"/>
          <w:szCs w:val="32"/>
          <w:lang w:val="en-US" w:eastAsia="zh-CN"/>
        </w:rPr>
        <w:t>县级</w:t>
      </w:r>
      <w:r>
        <w:rPr>
          <w:rFonts w:hint="eastAsia" w:ascii="仿宋_GB2312" w:hAnsi="仿宋_GB2312" w:eastAsia="仿宋_GB2312" w:cs="仿宋_GB2312"/>
          <w:spacing w:val="5"/>
          <w:sz w:val="32"/>
          <w:szCs w:val="32"/>
        </w:rPr>
        <w:t>自然资源主管部门，通过</w:t>
      </w:r>
      <w:r>
        <w:rPr>
          <w:rFonts w:hint="eastAsia" w:ascii="仿宋_GB2312" w:hAnsi="仿宋_GB2312" w:eastAsia="仿宋_GB2312" w:cs="仿宋_GB2312"/>
          <w:spacing w:val="5"/>
          <w:sz w:val="32"/>
          <w:szCs w:val="32"/>
          <w:lang w:val="en-US" w:eastAsia="zh-CN"/>
        </w:rPr>
        <w:t>广播、</w:t>
      </w:r>
      <w:r>
        <w:rPr>
          <w:rFonts w:hint="eastAsia" w:ascii="仿宋_GB2312" w:hAnsi="仿宋_GB2312" w:eastAsia="仿宋_GB2312" w:cs="仿宋_GB2312"/>
          <w:spacing w:val="5"/>
          <w:sz w:val="32"/>
          <w:szCs w:val="32"/>
        </w:rPr>
        <w:t>电视、</w:t>
      </w:r>
      <w:r>
        <w:rPr>
          <w:rFonts w:hint="eastAsia" w:ascii="仿宋_GB2312" w:hAnsi="仿宋_GB2312" w:eastAsia="仿宋_GB2312" w:cs="仿宋_GB2312"/>
          <w:spacing w:val="5"/>
          <w:sz w:val="32"/>
          <w:szCs w:val="32"/>
          <w:lang w:val="en-US" w:eastAsia="zh-CN"/>
        </w:rPr>
        <w:t>手机短信、互联网</w:t>
      </w:r>
      <w:r>
        <w:rPr>
          <w:rFonts w:hint="eastAsia" w:ascii="仿宋_GB2312" w:hAnsi="仿宋_GB2312" w:eastAsia="仿宋_GB2312" w:cs="仿宋_GB2312"/>
          <w:spacing w:val="5"/>
          <w:sz w:val="32"/>
          <w:szCs w:val="32"/>
        </w:rPr>
        <w:t>等</w:t>
      </w:r>
      <w:r>
        <w:rPr>
          <w:rFonts w:hint="eastAsia" w:ascii="仿宋_GB2312" w:hAnsi="仿宋_GB2312" w:eastAsia="仿宋_GB2312" w:cs="仿宋_GB2312"/>
          <w:spacing w:val="5"/>
          <w:sz w:val="32"/>
          <w:szCs w:val="32"/>
          <w:lang w:val="en-US" w:eastAsia="zh-CN"/>
        </w:rPr>
        <w:t>方式</w:t>
      </w:r>
      <w:r>
        <w:rPr>
          <w:rFonts w:hint="eastAsia" w:ascii="仿宋_GB2312" w:hAnsi="仿宋_GB2312" w:eastAsia="仿宋_GB2312" w:cs="仿宋_GB2312"/>
          <w:spacing w:val="5"/>
          <w:sz w:val="32"/>
          <w:szCs w:val="32"/>
        </w:rPr>
        <w:t>向社会发布</w:t>
      </w:r>
      <w:r>
        <w:rPr>
          <w:rFonts w:hint="eastAsia" w:ascii="仿宋_GB2312" w:hAnsi="仿宋_GB2312" w:eastAsia="仿宋_GB2312" w:cs="仿宋_GB2312"/>
          <w:spacing w:val="8"/>
          <w:sz w:val="32"/>
          <w:szCs w:val="32"/>
        </w:rPr>
        <w:t>。</w:t>
      </w:r>
    </w:p>
    <w:p w14:paraId="6CA0BBA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7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position w:val="1"/>
          <w:sz w:val="32"/>
          <w:szCs w:val="32"/>
        </w:rPr>
        <w:t>4.规范灾情统计与信息速报机制</w:t>
      </w:r>
    </w:p>
    <w:p w14:paraId="0BC7F0C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6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汛期各级值班人员需每日统计辖区内地质灾</w:t>
      </w:r>
      <w:r>
        <w:rPr>
          <w:rFonts w:hint="eastAsia" w:ascii="仿宋_GB2312" w:hAnsi="仿宋_GB2312" w:eastAsia="仿宋_GB2312" w:cs="仿宋_GB2312"/>
          <w:spacing w:val="16"/>
          <w:sz w:val="32"/>
          <w:szCs w:val="32"/>
        </w:rPr>
        <w:t>害发生情况及</w:t>
      </w:r>
      <w:r>
        <w:rPr>
          <w:rFonts w:hint="eastAsia" w:ascii="仿宋_GB2312" w:hAnsi="仿宋_GB2312" w:eastAsia="仿宋_GB2312" w:cs="仿宋_GB2312"/>
          <w:spacing w:val="5"/>
          <w:sz w:val="32"/>
          <w:szCs w:val="32"/>
        </w:rPr>
        <w:t>气象风险预警等级。遇强降雨或发生地质灾害险情、灾情时，值班人员应汇总、统计</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上报的巡查地质灾害隐患点数量、巡查人员数量、预警信息发布情况（次数及级别）、值班值守人员数量、转移受威胁人员户数及人数等数据，并于第一时间速报</w:t>
      </w:r>
      <w:r>
        <w:rPr>
          <w:rFonts w:hint="eastAsia" w:ascii="仿宋_GB2312" w:hAnsi="仿宋_GB2312" w:eastAsia="仿宋_GB2312" w:cs="仿宋_GB2312"/>
          <w:spacing w:val="5"/>
          <w:sz w:val="32"/>
          <w:szCs w:val="32"/>
          <w:lang w:val="en-US" w:eastAsia="zh-CN"/>
        </w:rPr>
        <w:t>市</w:t>
      </w:r>
      <w:r>
        <w:rPr>
          <w:rFonts w:hint="eastAsia" w:ascii="仿宋_GB2312" w:hAnsi="仿宋_GB2312" w:eastAsia="仿宋_GB2312" w:cs="仿宋_GB2312"/>
          <w:spacing w:val="5"/>
          <w:sz w:val="32"/>
          <w:szCs w:val="32"/>
        </w:rPr>
        <w:t>自然资源</w:t>
      </w:r>
      <w:r>
        <w:rPr>
          <w:rFonts w:hint="eastAsia" w:ascii="仿宋_GB2312" w:hAnsi="仿宋_GB2312" w:eastAsia="仿宋_GB2312" w:cs="仿宋_GB2312"/>
          <w:spacing w:val="5"/>
          <w:sz w:val="32"/>
          <w:szCs w:val="32"/>
          <w:lang w:val="en-US" w:eastAsia="zh-CN"/>
        </w:rPr>
        <w:t>局</w:t>
      </w:r>
      <w:r>
        <w:rPr>
          <w:rFonts w:hint="eastAsia" w:ascii="仿宋_GB2312" w:hAnsi="仿宋_GB2312" w:eastAsia="仿宋_GB2312" w:cs="仿宋_GB2312"/>
          <w:spacing w:val="5"/>
          <w:sz w:val="32"/>
          <w:szCs w:val="32"/>
        </w:rPr>
        <w:t>。</w:t>
      </w:r>
    </w:p>
    <w:p w14:paraId="780A0641">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0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县级自然资源主管部门在接到特大型、大型地质灾害报告</w:t>
      </w:r>
      <w:r>
        <w:rPr>
          <w:rFonts w:hint="eastAsia" w:ascii="仿宋_GB2312" w:hAnsi="仿宋_GB2312" w:eastAsia="仿宋_GB2312" w:cs="仿宋_GB2312"/>
          <w:spacing w:val="5"/>
          <w:sz w:val="32"/>
          <w:szCs w:val="32"/>
        </w:rPr>
        <w:t>后，须立即启动速报程序，同步报告县级政府、</w:t>
      </w:r>
      <w:r>
        <w:rPr>
          <w:rFonts w:hint="eastAsia" w:ascii="仿宋_GB2312" w:hAnsi="仿宋_GB2312" w:eastAsia="仿宋_GB2312" w:cs="仿宋_GB2312"/>
          <w:spacing w:val="5"/>
          <w:sz w:val="32"/>
          <w:szCs w:val="32"/>
          <w:lang w:val="en-US" w:eastAsia="zh-CN"/>
        </w:rPr>
        <w:t>市自然资源局</w:t>
      </w:r>
      <w:r>
        <w:rPr>
          <w:rFonts w:hint="eastAsia" w:ascii="仿宋_GB2312" w:hAnsi="仿宋_GB2312" w:eastAsia="仿宋_GB2312" w:cs="仿宋_GB2312"/>
          <w:spacing w:val="5"/>
          <w:sz w:val="32"/>
          <w:szCs w:val="32"/>
        </w:rPr>
        <w:t>及当地应急管理部门，并可直接越级上报省自然资源厅和自然资源部。对中、小型地质灾害，县级自然资源主管部门应在接报后立即向县级政府和</w:t>
      </w:r>
      <w:r>
        <w:rPr>
          <w:rFonts w:hint="eastAsia" w:ascii="仿宋_GB2312" w:hAnsi="仿宋_GB2312" w:eastAsia="仿宋_GB2312" w:cs="仿宋_GB2312"/>
          <w:spacing w:val="5"/>
          <w:sz w:val="32"/>
          <w:szCs w:val="32"/>
          <w:lang w:val="en-US" w:eastAsia="zh-CN"/>
        </w:rPr>
        <w:t>市自然资源局</w:t>
      </w:r>
      <w:r>
        <w:rPr>
          <w:rFonts w:hint="eastAsia" w:ascii="仿宋_GB2312" w:hAnsi="仿宋_GB2312" w:eastAsia="仿宋_GB2312" w:cs="仿宋_GB2312"/>
          <w:spacing w:val="5"/>
          <w:sz w:val="32"/>
          <w:szCs w:val="32"/>
        </w:rPr>
        <w:t>报告，同时可越</w:t>
      </w:r>
      <w:r>
        <w:rPr>
          <w:rFonts w:hint="eastAsia" w:ascii="仿宋_GB2312" w:hAnsi="仿宋_GB2312" w:eastAsia="仿宋_GB2312" w:cs="仿宋_GB2312"/>
          <w:spacing w:val="7"/>
          <w:sz w:val="32"/>
          <w:szCs w:val="32"/>
        </w:rPr>
        <w:t>级速报省自然资源厅。</w:t>
      </w:r>
    </w:p>
    <w:p w14:paraId="56BE272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6"/>
        <w:jc w:val="both"/>
        <w:textAlignment w:val="baseline"/>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pacing w:val="4"/>
          <w:sz w:val="32"/>
          <w:szCs w:val="32"/>
        </w:rPr>
        <w:t>在接到特大型、大型地质灾害险情或灾情报告</w:t>
      </w:r>
      <w:r>
        <w:rPr>
          <w:rFonts w:hint="eastAsia" w:ascii="仿宋_GB2312" w:hAnsi="仿宋_GB2312" w:eastAsia="仿宋_GB2312" w:cs="仿宋_GB2312"/>
          <w:spacing w:val="3"/>
          <w:sz w:val="32"/>
          <w:szCs w:val="32"/>
        </w:rPr>
        <w:t>后，</w:t>
      </w:r>
      <w:r>
        <w:rPr>
          <w:rFonts w:hint="eastAsia" w:ascii="仿宋_GB2312" w:hAnsi="仿宋_GB2312" w:eastAsia="仿宋_GB2312" w:cs="仿宋_GB2312"/>
          <w:spacing w:val="3"/>
          <w:sz w:val="32"/>
          <w:szCs w:val="32"/>
          <w:lang w:val="en-US" w:eastAsia="zh-CN"/>
        </w:rPr>
        <w:t>应立即速报市政府</w:t>
      </w:r>
      <w:r>
        <w:rPr>
          <w:rFonts w:hint="eastAsia" w:ascii="仿宋_GB2312" w:hAnsi="仿宋_GB2312" w:eastAsia="仿宋_GB2312" w:cs="仿宋_GB2312"/>
          <w:spacing w:val="3"/>
          <w:sz w:val="32"/>
          <w:szCs w:val="32"/>
        </w:rPr>
        <w:t>和</w:t>
      </w:r>
      <w:r>
        <w:rPr>
          <w:rFonts w:hint="eastAsia" w:ascii="仿宋_GB2312" w:hAnsi="仿宋_GB2312" w:eastAsia="仿宋_GB2312" w:cs="仿宋_GB2312"/>
          <w:spacing w:val="3"/>
          <w:sz w:val="32"/>
          <w:szCs w:val="32"/>
          <w:lang w:val="en-US" w:eastAsia="zh-CN"/>
        </w:rPr>
        <w:t>省</w:t>
      </w:r>
      <w:r>
        <w:rPr>
          <w:rFonts w:hint="eastAsia" w:ascii="仿宋_GB2312" w:hAnsi="仿宋_GB2312" w:eastAsia="仿宋_GB2312" w:cs="仿宋_GB2312"/>
          <w:spacing w:val="7"/>
          <w:sz w:val="32"/>
          <w:szCs w:val="32"/>
        </w:rPr>
        <w:t>自然资源</w:t>
      </w:r>
      <w:r>
        <w:rPr>
          <w:rFonts w:hint="eastAsia" w:ascii="仿宋_GB2312" w:hAnsi="仿宋_GB2312" w:eastAsia="仿宋_GB2312" w:cs="仿宋_GB2312"/>
          <w:spacing w:val="7"/>
          <w:sz w:val="32"/>
          <w:szCs w:val="32"/>
          <w:lang w:val="en-US" w:eastAsia="zh-CN"/>
        </w:rPr>
        <w:t>厅可越级速报自然资源部</w:t>
      </w:r>
      <w:r>
        <w:rPr>
          <w:rFonts w:hint="eastAsia" w:ascii="仿宋_GB2312" w:hAnsi="仿宋_GB2312" w:eastAsia="仿宋_GB2312" w:cs="仿宋_GB2312"/>
          <w:spacing w:val="7"/>
          <w:sz w:val="32"/>
          <w:szCs w:val="32"/>
        </w:rPr>
        <w:t>，并抄送</w:t>
      </w:r>
      <w:r>
        <w:rPr>
          <w:rFonts w:hint="eastAsia" w:ascii="仿宋_GB2312" w:hAnsi="仿宋_GB2312" w:eastAsia="仿宋_GB2312" w:cs="仿宋_GB2312"/>
          <w:spacing w:val="7"/>
          <w:sz w:val="32"/>
          <w:szCs w:val="32"/>
          <w:lang w:val="en-US" w:eastAsia="zh-CN"/>
        </w:rPr>
        <w:t>市</w:t>
      </w:r>
      <w:r>
        <w:rPr>
          <w:rFonts w:hint="eastAsia" w:ascii="仿宋_GB2312" w:hAnsi="仿宋_GB2312" w:eastAsia="仿宋_GB2312" w:cs="仿宋_GB2312"/>
          <w:spacing w:val="7"/>
          <w:sz w:val="32"/>
          <w:szCs w:val="32"/>
        </w:rPr>
        <w:t>应急管理</w:t>
      </w:r>
      <w:r>
        <w:rPr>
          <w:rFonts w:hint="eastAsia" w:ascii="仿宋_GB2312" w:hAnsi="仿宋_GB2312" w:eastAsia="仿宋_GB2312" w:cs="仿宋_GB2312"/>
          <w:spacing w:val="7"/>
          <w:sz w:val="32"/>
          <w:szCs w:val="32"/>
          <w:lang w:val="en-US" w:eastAsia="zh-CN"/>
        </w:rPr>
        <w:t>局</w:t>
      </w:r>
      <w:r>
        <w:rPr>
          <w:rFonts w:hint="eastAsia" w:ascii="仿宋_GB2312" w:hAnsi="仿宋_GB2312" w:eastAsia="仿宋_GB2312" w:cs="仿宋_GB2312"/>
          <w:spacing w:val="7"/>
          <w:sz w:val="32"/>
          <w:szCs w:val="32"/>
        </w:rPr>
        <w:t>，确保信息传递及时、准确、</w:t>
      </w:r>
      <w:r>
        <w:rPr>
          <w:rFonts w:hint="eastAsia" w:ascii="仿宋_GB2312" w:hAnsi="仿宋_GB2312" w:eastAsia="仿宋_GB2312" w:cs="仿宋_GB2312"/>
          <w:spacing w:val="8"/>
          <w:sz w:val="32"/>
          <w:szCs w:val="32"/>
        </w:rPr>
        <w:t>高效，为应急处置争取宝贵时间。</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局在接到中、小型地质灾害报告后，应立即速报市政府和省自然资源厅。</w:t>
      </w:r>
    </w:p>
    <w:p w14:paraId="4667288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63" w:firstLineChars="200"/>
        <w:textAlignment w:val="baseline"/>
        <w:outlineLvl w:val="2"/>
        <w:rPr>
          <w:rFonts w:ascii="楷体" w:hAnsi="楷体" w:eastAsia="楷体" w:cs="楷体"/>
          <w:sz w:val="32"/>
          <w:szCs w:val="32"/>
        </w:rPr>
      </w:pPr>
      <w:r>
        <w:rPr>
          <w:rFonts w:ascii="楷体" w:hAnsi="楷体" w:eastAsia="楷体" w:cs="楷体"/>
          <w:b/>
          <w:bCs/>
          <w:spacing w:val="5"/>
          <w:sz w:val="32"/>
          <w:szCs w:val="32"/>
        </w:rPr>
        <w:t>（五）深化宣传培训与应急演练，增强防灾减灾</w:t>
      </w:r>
      <w:r>
        <w:rPr>
          <w:rFonts w:ascii="楷体" w:hAnsi="楷体" w:eastAsia="楷体" w:cs="楷体"/>
          <w:b/>
          <w:bCs/>
          <w:spacing w:val="4"/>
          <w:sz w:val="32"/>
          <w:szCs w:val="32"/>
        </w:rPr>
        <w:t>意识</w:t>
      </w:r>
    </w:p>
    <w:p w14:paraId="78C00B2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各级人民政府要高度重视地质灾害防治宣传教育工作，创新宣传形式，丰富宣传载体，充分利用广播、电视、报刊、网络等媒体平台，</w:t>
      </w:r>
      <w:r>
        <w:rPr>
          <w:rFonts w:hint="eastAsia" w:ascii="仿宋_GB2312" w:hAnsi="仿宋_GB2312" w:eastAsia="仿宋_GB2312" w:cs="仿宋_GB2312"/>
          <w:spacing w:val="12"/>
          <w:sz w:val="32"/>
          <w:szCs w:val="32"/>
        </w:rPr>
        <w:t>深入开展防灾减灾知识“进社区、进</w:t>
      </w:r>
      <w:r>
        <w:rPr>
          <w:rFonts w:hint="eastAsia" w:ascii="仿宋_GB2312" w:hAnsi="仿宋_GB2312" w:eastAsia="仿宋_GB2312" w:cs="仿宋_GB2312"/>
          <w:spacing w:val="11"/>
          <w:sz w:val="32"/>
          <w:szCs w:val="32"/>
        </w:rPr>
        <w:t>乡村、进学校、进企</w:t>
      </w:r>
      <w:r>
        <w:rPr>
          <w:rFonts w:hint="eastAsia" w:ascii="仿宋_GB2312" w:hAnsi="仿宋_GB2312" w:eastAsia="仿宋_GB2312" w:cs="仿宋_GB2312"/>
          <w:spacing w:val="12"/>
          <w:sz w:val="32"/>
          <w:szCs w:val="32"/>
        </w:rPr>
        <w:t>业、进机关、进家庭、进工地”的“七进”活动。通过发放科普读</w:t>
      </w:r>
      <w:r>
        <w:rPr>
          <w:rFonts w:hint="eastAsia" w:ascii="仿宋_GB2312" w:hAnsi="仿宋_GB2312" w:eastAsia="仿宋_GB2312" w:cs="仿宋_GB2312"/>
          <w:spacing w:val="5"/>
          <w:sz w:val="32"/>
          <w:szCs w:val="32"/>
        </w:rPr>
        <w:t>物、张贴宣传图册、刷写警示标语、举办知识竞赛等形式，面向基层群众、农村居民和中小学生等重点群体，开展多层次、多渠</w:t>
      </w:r>
      <w:r>
        <w:rPr>
          <w:rFonts w:hint="eastAsia" w:ascii="仿宋_GB2312" w:hAnsi="仿宋_GB2312" w:eastAsia="仿宋_GB2312" w:cs="仿宋_GB2312"/>
          <w:spacing w:val="6"/>
          <w:sz w:val="32"/>
          <w:szCs w:val="32"/>
        </w:rPr>
        <w:t>道的科普宣传，全面提升公众“识灾、防灾、避灾”能力，营造全</w:t>
      </w:r>
      <w:r>
        <w:rPr>
          <w:rFonts w:hint="eastAsia" w:ascii="仿宋_GB2312" w:hAnsi="仿宋_GB2312" w:eastAsia="仿宋_GB2312" w:cs="仿宋_GB2312"/>
          <w:spacing w:val="8"/>
          <w:sz w:val="32"/>
          <w:szCs w:val="32"/>
        </w:rPr>
        <w:t>社会共同参与地质灾害防治的良好氛围。</w:t>
      </w:r>
      <w:r>
        <w:rPr>
          <w:rFonts w:hint="eastAsia" w:ascii="仿宋_GB2312" w:hAnsi="仿宋_GB2312" w:eastAsia="仿宋_GB2312" w:cs="仿宋_GB2312"/>
          <w:spacing w:val="7"/>
          <w:sz w:val="32"/>
          <w:szCs w:val="32"/>
        </w:rPr>
        <w:t>各级自然资源主管部门要分级分类开展地质灾</w:t>
      </w:r>
      <w:r>
        <w:rPr>
          <w:rFonts w:hint="eastAsia" w:ascii="仿宋_GB2312" w:hAnsi="仿宋_GB2312" w:eastAsia="仿宋_GB2312" w:cs="仿宋_GB2312"/>
          <w:spacing w:val="6"/>
          <w:sz w:val="32"/>
          <w:szCs w:val="32"/>
        </w:rPr>
        <w:t>害防治培训。</w:t>
      </w:r>
      <w:r>
        <w:rPr>
          <w:rFonts w:hint="eastAsia" w:ascii="仿宋_GB2312" w:hAnsi="仿宋_GB2312" w:eastAsia="仿宋_GB2312" w:cs="仿宋_GB2312"/>
          <w:spacing w:val="5"/>
          <w:sz w:val="32"/>
          <w:szCs w:val="32"/>
        </w:rPr>
        <w:t>市级层面负责县级政府分管领导及防治骨干培训，重点强化巡查监测、应急处置和协调管理能力；县级层面要对辖区内所有隐患点群测群防员开展全员培训，切实提高监测预警、信息报送</w:t>
      </w:r>
      <w:r>
        <w:rPr>
          <w:rFonts w:hint="eastAsia" w:ascii="仿宋_GB2312" w:hAnsi="仿宋_GB2312" w:eastAsia="仿宋_GB2312" w:cs="仿宋_GB2312"/>
          <w:spacing w:val="6"/>
          <w:sz w:val="32"/>
          <w:szCs w:val="32"/>
        </w:rPr>
        <w:t>和履职尽责能力。</w:t>
      </w:r>
    </w:p>
    <w:p w14:paraId="365DC42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各地要结合区域地质灾害特点，针对辖区相关责任人、乡镇村组干部、监测员、网格员、志愿者、受威胁群众及工程建设活动相关人员，开展全覆盖、常态化的防灾减灾教育培训。采取集</w:t>
      </w:r>
      <w:r>
        <w:rPr>
          <w:rFonts w:hint="eastAsia" w:ascii="仿宋_GB2312" w:hAnsi="仿宋_GB2312" w:eastAsia="仿宋_GB2312" w:cs="仿宋_GB2312"/>
          <w:spacing w:val="7"/>
          <w:sz w:val="32"/>
          <w:szCs w:val="32"/>
        </w:rPr>
        <w:t>中与分散、综合与专项相结合的方式，定期组</w:t>
      </w:r>
      <w:r>
        <w:rPr>
          <w:rFonts w:hint="eastAsia" w:ascii="仿宋_GB2312" w:hAnsi="仿宋_GB2312" w:eastAsia="仿宋_GB2312" w:cs="仿宋_GB2312"/>
          <w:spacing w:val="6"/>
          <w:sz w:val="32"/>
          <w:szCs w:val="32"/>
        </w:rPr>
        <w:t>织避险应急演练，</w:t>
      </w:r>
      <w:r>
        <w:rPr>
          <w:rFonts w:hint="eastAsia" w:ascii="仿宋_GB2312" w:hAnsi="仿宋_GB2312" w:eastAsia="仿宋_GB2312" w:cs="仿宋_GB2312"/>
          <w:spacing w:val="8"/>
          <w:sz w:val="32"/>
          <w:szCs w:val="32"/>
        </w:rPr>
        <w:t>切实增强群众主动防范意识和自救互救能力。</w:t>
      </w:r>
    </w:p>
    <w:p w14:paraId="49846A1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64" w:firstLineChars="200"/>
        <w:textAlignment w:val="baseline"/>
        <w:rPr>
          <w:rFonts w:ascii="黑体" w:hAnsi="黑体" w:eastAsia="黑体" w:cs="黑体"/>
          <w:sz w:val="32"/>
          <w:szCs w:val="32"/>
        </w:rPr>
      </w:pPr>
      <w:r>
        <w:rPr>
          <w:rFonts w:ascii="黑体" w:hAnsi="黑体" w:eastAsia="黑体" w:cs="黑体"/>
          <w:spacing w:val="6"/>
          <w:sz w:val="32"/>
          <w:szCs w:val="32"/>
        </w:rPr>
        <w:t>四、落实保障措施</w:t>
      </w:r>
    </w:p>
    <w:p w14:paraId="5F77799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5" w:firstLineChars="200"/>
        <w:textAlignment w:val="baseline"/>
        <w:outlineLvl w:val="2"/>
        <w:rPr>
          <w:rFonts w:ascii="楷体" w:hAnsi="楷体" w:eastAsia="楷体" w:cs="楷体"/>
          <w:sz w:val="32"/>
          <w:szCs w:val="32"/>
        </w:rPr>
      </w:pPr>
      <w:r>
        <w:rPr>
          <w:rFonts w:ascii="楷体" w:hAnsi="楷体" w:eastAsia="楷体" w:cs="楷体"/>
          <w:b/>
          <w:bCs/>
          <w:spacing w:val="3"/>
          <w:sz w:val="32"/>
          <w:szCs w:val="32"/>
        </w:rPr>
        <w:t>（</w:t>
      </w:r>
      <w:r>
        <w:rPr>
          <w:rFonts w:ascii="楷体" w:hAnsi="楷体" w:eastAsia="楷体" w:cs="楷体"/>
          <w:spacing w:val="-64"/>
          <w:sz w:val="32"/>
          <w:szCs w:val="32"/>
        </w:rPr>
        <w:t xml:space="preserve"> </w:t>
      </w:r>
      <w:r>
        <w:rPr>
          <w:rFonts w:ascii="楷体" w:hAnsi="楷体" w:eastAsia="楷体" w:cs="楷体"/>
          <w:b/>
          <w:bCs/>
          <w:spacing w:val="3"/>
          <w:sz w:val="32"/>
          <w:szCs w:val="32"/>
        </w:rPr>
        <w:t>一）全面落实防灾责任，制定年度防治方案</w:t>
      </w:r>
    </w:p>
    <w:p w14:paraId="0D19330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8"/>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牢固树立“人民至上、生命至上”理念，严格按照“属地管理、</w:t>
      </w:r>
      <w:r>
        <w:rPr>
          <w:rFonts w:hint="eastAsia" w:ascii="仿宋_GB2312" w:hAnsi="仿宋_GB2312" w:eastAsia="仿宋_GB2312" w:cs="仿宋_GB2312"/>
          <w:spacing w:val="12"/>
          <w:sz w:val="32"/>
          <w:szCs w:val="32"/>
        </w:rPr>
        <w:t>分级负责”</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“党政同责、一岗双责”的要求，落实各地各有关部门</w:t>
      </w:r>
      <w:r>
        <w:rPr>
          <w:rFonts w:hint="eastAsia" w:ascii="仿宋_GB2312" w:hAnsi="仿宋_GB2312" w:eastAsia="仿宋_GB2312" w:cs="仿宋_GB2312"/>
          <w:spacing w:val="6"/>
          <w:sz w:val="32"/>
          <w:szCs w:val="32"/>
        </w:rPr>
        <w:t>（单位）地质灾害防治属地责任，全面落实省、市、</w:t>
      </w:r>
      <w:r>
        <w:rPr>
          <w:rFonts w:hint="eastAsia" w:ascii="仿宋_GB2312" w:hAnsi="仿宋_GB2312" w:eastAsia="仿宋_GB2312" w:cs="仿宋_GB2312"/>
          <w:spacing w:val="5"/>
          <w:sz w:val="32"/>
          <w:szCs w:val="32"/>
        </w:rPr>
        <w:t>县、乡、村防灾责任制，把责任落实到点到岗到人。县级以上人民政府要将地质灾害防治工作列入重要议事日程，在汛前印发实施辖区2025</w:t>
      </w:r>
      <w:r>
        <w:rPr>
          <w:rFonts w:hint="eastAsia" w:ascii="仿宋_GB2312" w:hAnsi="仿宋_GB2312" w:eastAsia="仿宋_GB2312" w:cs="仿宋_GB2312"/>
          <w:spacing w:val="9"/>
          <w:sz w:val="32"/>
          <w:szCs w:val="32"/>
        </w:rPr>
        <w:t>年度地质灾害防治方案，并报上一级自然资源主管部门备案。</w:t>
      </w:r>
    </w:p>
    <w:p w14:paraId="5B44C03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9" w:firstLineChars="200"/>
        <w:textAlignment w:val="baseline"/>
        <w:outlineLvl w:val="2"/>
        <w:rPr>
          <w:rFonts w:ascii="楷体" w:hAnsi="楷体" w:eastAsia="楷体" w:cs="楷体"/>
          <w:sz w:val="32"/>
          <w:szCs w:val="32"/>
        </w:rPr>
      </w:pPr>
      <w:r>
        <w:rPr>
          <w:rFonts w:ascii="楷体" w:hAnsi="楷体" w:eastAsia="楷体" w:cs="楷体"/>
          <w:b/>
          <w:bCs/>
          <w:spacing w:val="4"/>
          <w:sz w:val="32"/>
          <w:szCs w:val="32"/>
        </w:rPr>
        <w:t>（二）完善协调联防机制，强化防灾行业监管</w:t>
      </w:r>
    </w:p>
    <w:p w14:paraId="496A317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66" w:firstLineChars="207"/>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eastAsia="zh-CN"/>
        </w:rPr>
        <w:t>各级</w:t>
      </w:r>
      <w:r>
        <w:rPr>
          <w:rFonts w:hint="eastAsia" w:ascii="仿宋_GB2312" w:hAnsi="仿宋_GB2312" w:eastAsia="仿宋_GB2312" w:cs="仿宋_GB2312"/>
          <w:spacing w:val="1"/>
          <w:sz w:val="32"/>
          <w:szCs w:val="32"/>
        </w:rPr>
        <w:t>自然资源</w:t>
      </w:r>
      <w:r>
        <w:rPr>
          <w:rFonts w:hint="eastAsia" w:ascii="仿宋_GB2312" w:hAnsi="仿宋_GB2312" w:eastAsia="仿宋_GB2312" w:cs="仿宋_GB2312"/>
          <w:spacing w:val="1"/>
          <w:sz w:val="32"/>
          <w:szCs w:val="32"/>
          <w:lang w:val="en-US" w:eastAsia="zh-CN"/>
        </w:rPr>
        <w:t>主管</w:t>
      </w:r>
      <w:r>
        <w:rPr>
          <w:rFonts w:hint="eastAsia" w:ascii="仿宋_GB2312" w:hAnsi="仿宋_GB2312" w:eastAsia="仿宋_GB2312" w:cs="仿宋_GB2312"/>
          <w:spacing w:val="1"/>
          <w:sz w:val="32"/>
          <w:szCs w:val="32"/>
        </w:rPr>
        <w:t>部门充分发挥统筹协调作用，</w:t>
      </w:r>
      <w:r>
        <w:rPr>
          <w:rFonts w:hint="eastAsia" w:ascii="仿宋_GB2312" w:hAnsi="仿宋_GB2312" w:eastAsia="仿宋_GB2312" w:cs="仿宋_GB2312"/>
          <w:spacing w:val="6"/>
          <w:sz w:val="32"/>
          <w:szCs w:val="32"/>
        </w:rPr>
        <w:t>严格落实“谁引发、谁治理”的防治责任制。构建纵向贯通、横向</w:t>
      </w:r>
      <w:r>
        <w:rPr>
          <w:rFonts w:hint="eastAsia" w:ascii="仿宋_GB2312" w:hAnsi="仿宋_GB2312" w:eastAsia="仿宋_GB2312" w:cs="仿宋_GB2312"/>
          <w:spacing w:val="5"/>
          <w:sz w:val="32"/>
          <w:szCs w:val="32"/>
        </w:rPr>
        <w:t>联动的协同防治体系。按照职责分工，健全地质灾害分工协作机</w:t>
      </w:r>
      <w:r>
        <w:rPr>
          <w:rFonts w:hint="eastAsia" w:ascii="仿宋_GB2312" w:hAnsi="仿宋_GB2312" w:eastAsia="仿宋_GB2312" w:cs="仿宋_GB2312"/>
          <w:spacing w:val="-3"/>
          <w:sz w:val="32"/>
          <w:szCs w:val="32"/>
        </w:rPr>
        <w:t>制，充分发挥自然资源主管部门的行业优势，加强与气象、水利、</w:t>
      </w:r>
      <w:r>
        <w:rPr>
          <w:rFonts w:hint="eastAsia" w:ascii="仿宋_GB2312" w:hAnsi="仿宋_GB2312" w:eastAsia="仿宋_GB2312" w:cs="仿宋_GB2312"/>
          <w:spacing w:val="6"/>
          <w:sz w:val="32"/>
          <w:szCs w:val="32"/>
        </w:rPr>
        <w:t>应急等部门会商研判和协调联动，强化联合调</w:t>
      </w:r>
      <w:r>
        <w:rPr>
          <w:rFonts w:hint="eastAsia" w:ascii="仿宋_GB2312" w:hAnsi="仿宋_GB2312" w:eastAsia="仿宋_GB2312" w:cs="仿宋_GB2312"/>
          <w:spacing w:val="5"/>
          <w:sz w:val="32"/>
          <w:szCs w:val="32"/>
        </w:rPr>
        <w:t>度督导，有效形成</w:t>
      </w:r>
      <w:r>
        <w:rPr>
          <w:rFonts w:hint="eastAsia" w:ascii="仿宋_GB2312" w:hAnsi="仿宋_GB2312" w:eastAsia="仿宋_GB2312" w:cs="仿宋_GB2312"/>
          <w:spacing w:val="9"/>
          <w:sz w:val="32"/>
          <w:szCs w:val="32"/>
        </w:rPr>
        <w:t>地质灾害防范合力。同时，住房和城乡建设、教育、交通运输、</w:t>
      </w:r>
      <w:r>
        <w:rPr>
          <w:rFonts w:hint="eastAsia" w:ascii="仿宋_GB2312" w:hAnsi="仿宋_GB2312" w:eastAsia="仿宋_GB2312" w:cs="仿宋_GB2312"/>
          <w:spacing w:val="6"/>
          <w:sz w:val="32"/>
          <w:szCs w:val="32"/>
        </w:rPr>
        <w:t>水利、文化和旅游、应急、气象等部门要指导</w:t>
      </w:r>
      <w:r>
        <w:rPr>
          <w:rFonts w:hint="eastAsia" w:ascii="仿宋_GB2312" w:hAnsi="仿宋_GB2312" w:eastAsia="仿宋_GB2312" w:cs="仿宋_GB2312"/>
          <w:spacing w:val="5"/>
          <w:sz w:val="32"/>
          <w:szCs w:val="32"/>
        </w:rPr>
        <w:t>督促做好本行业本</w:t>
      </w:r>
      <w:r>
        <w:rPr>
          <w:rFonts w:hint="eastAsia" w:ascii="仿宋_GB2312" w:hAnsi="仿宋_GB2312" w:eastAsia="仿宋_GB2312" w:cs="仿宋_GB2312"/>
          <w:spacing w:val="17"/>
          <w:sz w:val="32"/>
          <w:szCs w:val="32"/>
        </w:rPr>
        <w:t>领域地质灾害防治工作，切实从源头上防范和减轻地质灾害风</w:t>
      </w:r>
      <w:r>
        <w:rPr>
          <w:rFonts w:hint="eastAsia" w:ascii="仿宋_GB2312" w:hAnsi="仿宋_GB2312" w:eastAsia="仿宋_GB2312" w:cs="仿宋_GB2312"/>
          <w:spacing w:val="3"/>
          <w:sz w:val="32"/>
          <w:szCs w:val="32"/>
        </w:rPr>
        <w:t>险。</w:t>
      </w:r>
    </w:p>
    <w:p w14:paraId="19D7A48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9" w:firstLineChars="200"/>
        <w:textAlignment w:val="baseline"/>
        <w:outlineLvl w:val="2"/>
        <w:rPr>
          <w:rFonts w:ascii="楷体" w:hAnsi="楷体" w:eastAsia="楷体" w:cs="楷体"/>
          <w:sz w:val="32"/>
          <w:szCs w:val="32"/>
        </w:rPr>
      </w:pPr>
      <w:r>
        <w:rPr>
          <w:rFonts w:ascii="楷体" w:hAnsi="楷体" w:eastAsia="楷体" w:cs="楷体"/>
          <w:b/>
          <w:bCs/>
          <w:spacing w:val="4"/>
          <w:sz w:val="32"/>
          <w:szCs w:val="32"/>
        </w:rPr>
        <w:t>（三）强化国债项目成果应用，切实提升防灾能力</w:t>
      </w:r>
    </w:p>
    <w:p w14:paraId="79B1F5E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2"/>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巩固工程治理成效。对已完成治</w:t>
      </w:r>
      <w:r>
        <w:rPr>
          <w:rFonts w:hint="eastAsia" w:ascii="仿宋_GB2312" w:hAnsi="仿宋_GB2312" w:eastAsia="仿宋_GB2312" w:cs="仿宋_GB2312"/>
          <w:spacing w:val="12"/>
          <w:sz w:val="32"/>
          <w:szCs w:val="32"/>
        </w:rPr>
        <w:t>理的</w:t>
      </w:r>
      <w:r>
        <w:rPr>
          <w:rFonts w:hint="eastAsia" w:ascii="仿宋_GB2312" w:hAnsi="仿宋_GB2312" w:eastAsia="仿宋_GB2312" w:cs="仿宋_GB2312"/>
          <w:spacing w:val="12"/>
          <w:sz w:val="32"/>
          <w:szCs w:val="32"/>
          <w:lang w:val="en-US" w:eastAsia="zh-CN"/>
        </w:rPr>
        <w:t>2</w:t>
      </w:r>
      <w:r>
        <w:rPr>
          <w:rFonts w:hint="eastAsia" w:ascii="仿宋_GB2312" w:hAnsi="仿宋_GB2312" w:eastAsia="仿宋_GB2312" w:cs="仿宋_GB2312"/>
          <w:spacing w:val="12"/>
          <w:sz w:val="32"/>
          <w:szCs w:val="32"/>
        </w:rPr>
        <w:t>处隐患点开展“回头看”，重点核查防护工程</w:t>
      </w:r>
      <w:r>
        <w:rPr>
          <w:rFonts w:hint="eastAsia" w:ascii="仿宋_GB2312" w:hAnsi="仿宋_GB2312" w:eastAsia="仿宋_GB2312" w:cs="仿宋_GB2312"/>
          <w:spacing w:val="11"/>
          <w:sz w:val="32"/>
          <w:szCs w:val="32"/>
        </w:rPr>
        <w:t>稳定性及排</w:t>
      </w:r>
      <w:r>
        <w:rPr>
          <w:rFonts w:hint="eastAsia" w:ascii="仿宋_GB2312" w:hAnsi="仿宋_GB2312" w:eastAsia="仿宋_GB2312" w:cs="仿宋_GB2312"/>
          <w:spacing w:val="5"/>
          <w:sz w:val="32"/>
          <w:szCs w:val="32"/>
        </w:rPr>
        <w:t>水系统效能。确保项目成</w:t>
      </w:r>
      <w:r>
        <w:rPr>
          <w:rFonts w:hint="eastAsia" w:ascii="仿宋_GB2312" w:hAnsi="仿宋_GB2312" w:eastAsia="仿宋_GB2312" w:cs="仿宋_GB2312"/>
          <w:spacing w:val="6"/>
          <w:sz w:val="32"/>
          <w:szCs w:val="32"/>
        </w:rPr>
        <w:t>果从“建得好”转向“用得好”</w:t>
      </w:r>
      <w:r>
        <w:rPr>
          <w:rFonts w:hint="eastAsia" w:ascii="仿宋_GB2312" w:hAnsi="仿宋_GB2312" w:eastAsia="仿宋_GB2312" w:cs="仿宋_GB2312"/>
          <w:spacing w:val="-33"/>
          <w:sz w:val="32"/>
          <w:szCs w:val="32"/>
        </w:rPr>
        <w:t xml:space="preserve"> </w:t>
      </w:r>
      <w:r>
        <w:rPr>
          <w:rFonts w:hint="eastAsia" w:ascii="仿宋_GB2312" w:hAnsi="仿宋_GB2312" w:eastAsia="仿宋_GB2312" w:cs="仿宋_GB2312"/>
          <w:spacing w:val="6"/>
          <w:sz w:val="32"/>
          <w:szCs w:val="32"/>
        </w:rPr>
        <w:t>，进而提升防治能力，保障人民</w:t>
      </w:r>
      <w:r>
        <w:rPr>
          <w:rFonts w:hint="eastAsia" w:ascii="仿宋_GB2312" w:hAnsi="仿宋_GB2312" w:eastAsia="仿宋_GB2312" w:cs="仿宋_GB2312"/>
          <w:spacing w:val="7"/>
          <w:sz w:val="32"/>
          <w:szCs w:val="32"/>
        </w:rPr>
        <w:t>群众生命财产安全。</w:t>
      </w:r>
    </w:p>
    <w:p w14:paraId="18D49EC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1" w:firstLineChars="200"/>
        <w:textAlignment w:val="baseline"/>
        <w:outlineLvl w:val="2"/>
        <w:rPr>
          <w:rFonts w:ascii="楷体" w:hAnsi="楷体" w:eastAsia="楷体" w:cs="楷体"/>
          <w:sz w:val="32"/>
          <w:szCs w:val="32"/>
        </w:rPr>
      </w:pPr>
      <w:r>
        <w:rPr>
          <w:rFonts w:ascii="楷体" w:hAnsi="楷体" w:eastAsia="楷体" w:cs="楷体"/>
          <w:b/>
          <w:bCs/>
          <w:spacing w:val="2"/>
          <w:sz w:val="32"/>
          <w:szCs w:val="32"/>
        </w:rPr>
        <w:t>（四）深入开展隐患风险排查，加强地质灾害隐患动态</w:t>
      </w:r>
      <w:r>
        <w:rPr>
          <w:rFonts w:ascii="楷体" w:hAnsi="楷体" w:eastAsia="楷体" w:cs="楷体"/>
          <w:b/>
          <w:bCs/>
          <w:spacing w:val="1"/>
          <w:sz w:val="32"/>
          <w:szCs w:val="32"/>
        </w:rPr>
        <w:t>管理</w:t>
      </w:r>
    </w:p>
    <w:p w14:paraId="5299BD8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91" w:firstLineChars="201"/>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切实强化“汛前排查、汛期巡查、汛后核查”阶段排查和“雨</w:t>
      </w:r>
      <w:r>
        <w:rPr>
          <w:rFonts w:hint="eastAsia" w:ascii="仿宋_GB2312" w:hAnsi="仿宋_GB2312" w:eastAsia="仿宋_GB2312" w:cs="仿宋_GB2312"/>
          <w:spacing w:val="11"/>
          <w:sz w:val="32"/>
          <w:szCs w:val="32"/>
        </w:rPr>
        <w:t>前排查、雨中巡查、雨后核查”动态排查机制，及时掌握地质灾</w:t>
      </w:r>
      <w:r>
        <w:rPr>
          <w:rFonts w:hint="eastAsia" w:ascii="仿宋_GB2312" w:hAnsi="仿宋_GB2312" w:eastAsia="仿宋_GB2312" w:cs="仿宋_GB2312"/>
          <w:spacing w:val="5"/>
          <w:sz w:val="32"/>
          <w:szCs w:val="32"/>
        </w:rPr>
        <w:t>害隐患动态变化，做到风险隐患早发现、早处置、早消除。各有关部门（单位）要按照职责分工及时组织乡（镇、街道）、相关</w:t>
      </w:r>
      <w:r>
        <w:rPr>
          <w:rFonts w:hint="eastAsia" w:ascii="仿宋_GB2312" w:hAnsi="仿宋_GB2312" w:eastAsia="仿宋_GB2312" w:cs="仿宋_GB2312"/>
          <w:spacing w:val="17"/>
          <w:sz w:val="32"/>
          <w:szCs w:val="32"/>
        </w:rPr>
        <w:t>部门开展地质灾害隐患排查巡查，针对人员难以到达的有人居</w:t>
      </w:r>
      <w:r>
        <w:rPr>
          <w:rFonts w:hint="eastAsia" w:ascii="仿宋_GB2312" w:hAnsi="仿宋_GB2312" w:eastAsia="仿宋_GB2312" w:cs="仿宋_GB2312"/>
          <w:spacing w:val="6"/>
          <w:sz w:val="32"/>
          <w:szCs w:val="32"/>
        </w:rPr>
        <w:t>住、活动区域后山及左右两侧高陡斜坡，要运用“空天地”技术开</w:t>
      </w:r>
      <w:r>
        <w:rPr>
          <w:rFonts w:hint="eastAsia" w:ascii="仿宋_GB2312" w:hAnsi="仿宋_GB2312" w:eastAsia="仿宋_GB2312" w:cs="仿宋_GB2312"/>
          <w:spacing w:val="-3"/>
          <w:sz w:val="32"/>
          <w:szCs w:val="32"/>
        </w:rPr>
        <w:t>展隐患遥感识别，努力发现高位远程、隐蔽性强的地质灾害隐患。</w:t>
      </w:r>
      <w:r>
        <w:rPr>
          <w:rFonts w:hint="eastAsia" w:ascii="仿宋_GB2312" w:hAnsi="仿宋_GB2312" w:eastAsia="仿宋_GB2312" w:cs="仿宋_GB2312"/>
          <w:spacing w:val="5"/>
          <w:sz w:val="32"/>
          <w:szCs w:val="32"/>
        </w:rPr>
        <w:t>对排查发现的新增风险隐患要逐一登记造册、入库，落实防灾预案和防范措施，明确防灾责任人、监测责任人和监测员，完善群测群防网络。</w:t>
      </w:r>
    </w:p>
    <w:p w14:paraId="64533C1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51" w:firstLineChars="200"/>
        <w:textAlignment w:val="baseline"/>
        <w:outlineLvl w:val="2"/>
        <w:rPr>
          <w:rFonts w:ascii="楷体" w:hAnsi="楷体" w:eastAsia="楷体" w:cs="楷体"/>
          <w:sz w:val="32"/>
          <w:szCs w:val="32"/>
        </w:rPr>
      </w:pPr>
      <w:r>
        <w:rPr>
          <w:rFonts w:ascii="楷体" w:hAnsi="楷体" w:eastAsia="楷体" w:cs="楷体"/>
          <w:b/>
          <w:bCs/>
          <w:spacing w:val="-23"/>
          <w:sz w:val="32"/>
          <w:szCs w:val="32"/>
        </w:rPr>
        <w:t>（五）推进</w:t>
      </w:r>
      <w:r>
        <w:rPr>
          <w:rFonts w:ascii="Times New Roman" w:hAnsi="Times New Roman" w:eastAsia="Times New Roman" w:cs="Times New Roman"/>
          <w:b/>
          <w:bCs/>
          <w:spacing w:val="-23"/>
          <w:sz w:val="32"/>
          <w:szCs w:val="32"/>
        </w:rPr>
        <w:t>“</w:t>
      </w:r>
      <w:r>
        <w:rPr>
          <w:rFonts w:ascii="楷体" w:hAnsi="楷体" w:eastAsia="楷体" w:cs="楷体"/>
          <w:b/>
          <w:bCs/>
          <w:spacing w:val="-23"/>
          <w:sz w:val="32"/>
          <w:szCs w:val="32"/>
        </w:rPr>
        <w:t>隐患点</w:t>
      </w:r>
      <w:r>
        <w:rPr>
          <w:rFonts w:ascii="Times New Roman" w:hAnsi="Times New Roman" w:eastAsia="Times New Roman" w:cs="Times New Roman"/>
          <w:b/>
          <w:bCs/>
          <w:spacing w:val="-23"/>
          <w:sz w:val="32"/>
          <w:szCs w:val="32"/>
        </w:rPr>
        <w:t>+</w:t>
      </w:r>
      <w:r>
        <w:rPr>
          <w:rFonts w:ascii="楷体" w:hAnsi="楷体" w:eastAsia="楷体" w:cs="楷体"/>
          <w:b/>
          <w:bCs/>
          <w:spacing w:val="-23"/>
          <w:sz w:val="32"/>
          <w:szCs w:val="32"/>
        </w:rPr>
        <w:t>风险区</w:t>
      </w:r>
      <w:r>
        <w:rPr>
          <w:rFonts w:ascii="Times New Roman" w:hAnsi="Times New Roman" w:eastAsia="Times New Roman" w:cs="Times New Roman"/>
          <w:b/>
          <w:bCs/>
          <w:spacing w:val="-23"/>
          <w:sz w:val="32"/>
          <w:szCs w:val="32"/>
        </w:rPr>
        <w:t>”</w:t>
      </w:r>
      <w:r>
        <w:rPr>
          <w:rFonts w:ascii="楷体" w:hAnsi="楷体" w:eastAsia="楷体" w:cs="楷体"/>
          <w:b/>
          <w:bCs/>
          <w:spacing w:val="-23"/>
          <w:sz w:val="32"/>
          <w:szCs w:val="32"/>
        </w:rPr>
        <w:t>双控工作，提升风险防控能力</w:t>
      </w:r>
    </w:p>
    <w:p w14:paraId="334EDBE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7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围绕地质灾害防治重点由“隐患点”防控向“隐患点+风险区”</w:t>
      </w:r>
      <w:r>
        <w:rPr>
          <w:rFonts w:hint="eastAsia" w:ascii="仿宋_GB2312" w:hAnsi="仿宋_GB2312" w:eastAsia="仿宋_GB2312" w:cs="仿宋_GB2312"/>
          <w:spacing w:val="3"/>
          <w:sz w:val="32"/>
          <w:szCs w:val="32"/>
        </w:rPr>
        <w:t>双控转变的需求，</w:t>
      </w:r>
      <w:r>
        <w:rPr>
          <w:rFonts w:hint="eastAsia" w:ascii="仿宋_GB2312" w:hAnsi="仿宋_GB2312" w:eastAsia="仿宋_GB2312" w:cs="仿宋_GB2312"/>
          <w:spacing w:val="3"/>
          <w:sz w:val="32"/>
          <w:szCs w:val="32"/>
          <w:lang w:val="en-US" w:eastAsia="zh-CN"/>
        </w:rPr>
        <w:t>探索</w:t>
      </w:r>
      <w:r>
        <w:rPr>
          <w:rFonts w:hint="eastAsia" w:ascii="仿宋_GB2312" w:hAnsi="仿宋_GB2312" w:eastAsia="仿宋_GB2312" w:cs="仿宋_GB2312"/>
          <w:spacing w:val="3"/>
          <w:sz w:val="32"/>
          <w:szCs w:val="32"/>
        </w:rPr>
        <w:t>推进“隐患点+风险区”双控体系建设工作</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17"/>
          <w:sz w:val="32"/>
          <w:szCs w:val="32"/>
        </w:rPr>
        <w:t>提高我</w:t>
      </w:r>
      <w:r>
        <w:rPr>
          <w:rFonts w:hint="eastAsia" w:ascii="仿宋_GB2312" w:hAnsi="仿宋_GB2312" w:eastAsia="仿宋_GB2312" w:cs="仿宋_GB2312"/>
          <w:spacing w:val="17"/>
          <w:sz w:val="32"/>
          <w:szCs w:val="32"/>
          <w:lang w:val="en-US" w:eastAsia="zh-CN"/>
        </w:rPr>
        <w:t>市</w:t>
      </w:r>
      <w:r>
        <w:rPr>
          <w:rFonts w:hint="eastAsia" w:ascii="仿宋_GB2312" w:hAnsi="仿宋_GB2312" w:eastAsia="仿宋_GB2312" w:cs="仿宋_GB2312"/>
          <w:spacing w:val="17"/>
          <w:sz w:val="32"/>
          <w:szCs w:val="32"/>
        </w:rPr>
        <w:t>地质灾害防治能力，最大限度防范和化解地质灾害风</w:t>
      </w:r>
      <w:r>
        <w:rPr>
          <w:rFonts w:hint="eastAsia" w:ascii="仿宋_GB2312" w:hAnsi="仿宋_GB2312" w:eastAsia="仿宋_GB2312" w:cs="仿宋_GB2312"/>
          <w:spacing w:val="8"/>
          <w:sz w:val="32"/>
          <w:szCs w:val="32"/>
        </w:rPr>
        <w:t>险，推动地质灾害防治工作再上新台阶。</w:t>
      </w:r>
    </w:p>
    <w:p w14:paraId="17B6A4D7">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rPr>
      </w:pPr>
    </w:p>
    <w:p w14:paraId="1481817E">
      <w:pPr>
        <w:keepNext w:val="0"/>
        <w:keepLines w:val="0"/>
        <w:pageBreakBefore w:val="0"/>
        <w:widowControl/>
        <w:kinsoku w:val="0"/>
        <w:wordWrap/>
        <w:overflowPunct/>
        <w:topLinePunct w:val="0"/>
        <w:autoSpaceDE w:val="0"/>
        <w:autoSpaceDN w:val="0"/>
        <w:bidi w:val="0"/>
        <w:adjustRightInd w:val="0"/>
        <w:snapToGrid w:val="0"/>
        <w:spacing w:line="600" w:lineRule="exact"/>
        <w:ind w:left="670"/>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9"/>
          <w:position w:val="1"/>
          <w:sz w:val="32"/>
          <w:szCs w:val="32"/>
        </w:rPr>
        <w:t>附</w:t>
      </w:r>
      <w:r>
        <w:rPr>
          <w:rFonts w:hint="eastAsia" w:ascii="仿宋_GB2312" w:hAnsi="仿宋_GB2312" w:eastAsia="仿宋_GB2312" w:cs="仿宋_GB2312"/>
          <w:spacing w:val="3"/>
          <w:sz w:val="32"/>
          <w:szCs w:val="32"/>
        </w:rPr>
        <w:t>件：2025年汛期xx</w:t>
      </w:r>
      <w:r>
        <w:rPr>
          <w:rFonts w:hint="eastAsia" w:ascii="仿宋_GB2312" w:hAnsi="仿宋_GB2312" w:eastAsia="仿宋_GB2312" w:cs="仿宋_GB2312"/>
          <w:spacing w:val="3"/>
          <w:sz w:val="32"/>
          <w:szCs w:val="32"/>
          <w:lang w:val="en-US" w:eastAsia="zh-CN"/>
        </w:rPr>
        <w:t>县（市）区</w:t>
      </w:r>
      <w:r>
        <w:rPr>
          <w:rFonts w:hint="eastAsia" w:ascii="仿宋_GB2312" w:hAnsi="仿宋_GB2312" w:eastAsia="仿宋_GB2312" w:cs="仿宋_GB2312"/>
          <w:spacing w:val="3"/>
          <w:sz w:val="32"/>
          <w:szCs w:val="32"/>
        </w:rPr>
        <w:t>值班电话一览表</w:t>
      </w:r>
    </w:p>
    <w:p w14:paraId="33D27B40">
      <w:pPr>
        <w:keepNext w:val="0"/>
        <w:keepLines w:val="0"/>
        <w:pageBreakBefore w:val="0"/>
        <w:widowControl/>
        <w:kinsoku w:val="0"/>
        <w:wordWrap/>
        <w:overflowPunct/>
        <w:topLinePunct w:val="0"/>
        <w:autoSpaceDE w:val="0"/>
        <w:autoSpaceDN w:val="0"/>
        <w:bidi w:val="0"/>
        <w:adjustRightInd w:val="0"/>
        <w:snapToGrid w:val="0"/>
        <w:spacing w:line="600" w:lineRule="exact"/>
        <w:ind w:left="670"/>
        <w:textAlignment w:val="baseline"/>
        <w:rPr>
          <w:rFonts w:hint="eastAsia" w:ascii="仿宋_GB2312" w:hAnsi="仿宋_GB2312" w:eastAsia="仿宋_GB2312" w:cs="仿宋_GB2312"/>
          <w:spacing w:val="3"/>
          <w:sz w:val="32"/>
          <w:szCs w:val="32"/>
        </w:rPr>
      </w:pPr>
    </w:p>
    <w:p w14:paraId="4FB94B76">
      <w:pPr>
        <w:keepNext w:val="0"/>
        <w:keepLines w:val="0"/>
        <w:pageBreakBefore w:val="0"/>
        <w:widowControl/>
        <w:kinsoku w:val="0"/>
        <w:wordWrap/>
        <w:overflowPunct/>
        <w:topLinePunct w:val="0"/>
        <w:autoSpaceDE w:val="0"/>
        <w:autoSpaceDN w:val="0"/>
        <w:bidi w:val="0"/>
        <w:adjustRightInd w:val="0"/>
        <w:snapToGrid w:val="0"/>
        <w:spacing w:line="600" w:lineRule="exact"/>
        <w:ind w:left="670"/>
        <w:textAlignment w:val="baseline"/>
        <w:rPr>
          <w:rFonts w:hint="eastAsia" w:ascii="仿宋_GB2312" w:hAnsi="仿宋_GB2312" w:eastAsia="仿宋_GB2312" w:cs="仿宋_GB2312"/>
          <w:spacing w:val="3"/>
          <w:sz w:val="32"/>
          <w:szCs w:val="32"/>
        </w:rPr>
      </w:pPr>
    </w:p>
    <w:p w14:paraId="546AAFBE">
      <w:pPr>
        <w:keepNext w:val="0"/>
        <w:keepLines w:val="0"/>
        <w:pageBreakBefore w:val="0"/>
        <w:widowControl/>
        <w:kinsoku w:val="0"/>
        <w:wordWrap/>
        <w:overflowPunct/>
        <w:topLinePunct w:val="0"/>
        <w:autoSpaceDE w:val="0"/>
        <w:autoSpaceDN w:val="0"/>
        <w:bidi w:val="0"/>
        <w:adjustRightInd w:val="0"/>
        <w:snapToGrid w:val="0"/>
        <w:spacing w:line="600" w:lineRule="exact"/>
        <w:ind w:left="670"/>
        <w:textAlignment w:val="baseline"/>
        <w:rPr>
          <w:rFonts w:hint="eastAsia" w:ascii="仿宋_GB2312" w:hAnsi="仿宋_GB2312" w:eastAsia="仿宋_GB2312" w:cs="仿宋_GB2312"/>
          <w:spacing w:val="3"/>
          <w:sz w:val="32"/>
          <w:szCs w:val="32"/>
        </w:rPr>
      </w:pPr>
    </w:p>
    <w:p w14:paraId="2982BC60">
      <w:pPr>
        <w:keepNext w:val="0"/>
        <w:keepLines w:val="0"/>
        <w:pageBreakBefore w:val="0"/>
        <w:widowControl/>
        <w:kinsoku w:val="0"/>
        <w:wordWrap/>
        <w:overflowPunct/>
        <w:topLinePunct w:val="0"/>
        <w:autoSpaceDE w:val="0"/>
        <w:autoSpaceDN w:val="0"/>
        <w:bidi w:val="0"/>
        <w:adjustRightInd w:val="0"/>
        <w:snapToGrid w:val="0"/>
        <w:spacing w:line="600" w:lineRule="exact"/>
        <w:ind w:left="670"/>
        <w:textAlignment w:val="baseline"/>
        <w:rPr>
          <w:rFonts w:hint="eastAsia" w:ascii="仿宋_GB2312" w:hAnsi="仿宋_GB2312" w:eastAsia="仿宋_GB2312" w:cs="仿宋_GB2312"/>
          <w:spacing w:val="3"/>
          <w:sz w:val="32"/>
          <w:szCs w:val="32"/>
        </w:rPr>
      </w:pPr>
    </w:p>
    <w:p w14:paraId="63B68ACC">
      <w:pPr>
        <w:keepNext w:val="0"/>
        <w:keepLines w:val="0"/>
        <w:pageBreakBefore w:val="0"/>
        <w:widowControl/>
        <w:kinsoku w:val="0"/>
        <w:wordWrap/>
        <w:overflowPunct/>
        <w:topLinePunct w:val="0"/>
        <w:autoSpaceDE w:val="0"/>
        <w:autoSpaceDN w:val="0"/>
        <w:bidi w:val="0"/>
        <w:adjustRightInd w:val="0"/>
        <w:snapToGrid w:val="0"/>
        <w:spacing w:line="600" w:lineRule="exact"/>
        <w:ind w:left="670"/>
        <w:textAlignment w:val="baseline"/>
        <w:rPr>
          <w:rFonts w:hint="eastAsia" w:ascii="仿宋_GB2312" w:hAnsi="仿宋_GB2312" w:eastAsia="仿宋_GB2312" w:cs="仿宋_GB2312"/>
          <w:spacing w:val="3"/>
          <w:sz w:val="32"/>
          <w:szCs w:val="32"/>
        </w:rPr>
      </w:pPr>
    </w:p>
    <w:p w14:paraId="537345C3">
      <w:pPr>
        <w:keepNext w:val="0"/>
        <w:keepLines w:val="0"/>
        <w:pageBreakBefore w:val="0"/>
        <w:widowControl/>
        <w:kinsoku w:val="0"/>
        <w:wordWrap/>
        <w:overflowPunct/>
        <w:topLinePunct w:val="0"/>
        <w:autoSpaceDE w:val="0"/>
        <w:autoSpaceDN w:val="0"/>
        <w:bidi w:val="0"/>
        <w:adjustRightInd w:val="0"/>
        <w:snapToGrid w:val="0"/>
        <w:spacing w:line="600" w:lineRule="exact"/>
        <w:ind w:left="670"/>
        <w:textAlignment w:val="baseline"/>
        <w:rPr>
          <w:rFonts w:hint="eastAsia" w:ascii="仿宋_GB2312" w:hAnsi="仿宋_GB2312" w:eastAsia="仿宋_GB2312" w:cs="仿宋_GB2312"/>
          <w:spacing w:val="3"/>
          <w:sz w:val="32"/>
          <w:szCs w:val="32"/>
        </w:rPr>
      </w:pPr>
    </w:p>
    <w:p w14:paraId="0363E999">
      <w:pPr>
        <w:keepNext w:val="0"/>
        <w:keepLines w:val="0"/>
        <w:pageBreakBefore w:val="0"/>
        <w:widowControl/>
        <w:kinsoku w:val="0"/>
        <w:wordWrap/>
        <w:overflowPunct/>
        <w:topLinePunct w:val="0"/>
        <w:autoSpaceDE w:val="0"/>
        <w:autoSpaceDN w:val="0"/>
        <w:bidi w:val="0"/>
        <w:adjustRightInd w:val="0"/>
        <w:snapToGrid w:val="0"/>
        <w:spacing w:line="600" w:lineRule="exact"/>
        <w:ind w:left="670"/>
        <w:textAlignment w:val="baseline"/>
        <w:rPr>
          <w:rFonts w:hint="eastAsia" w:ascii="仿宋_GB2312" w:hAnsi="仿宋_GB2312" w:eastAsia="仿宋_GB2312" w:cs="仿宋_GB2312"/>
          <w:spacing w:val="3"/>
          <w:sz w:val="32"/>
          <w:szCs w:val="32"/>
        </w:rPr>
      </w:pPr>
    </w:p>
    <w:p w14:paraId="6A7652B9">
      <w:pPr>
        <w:keepNext w:val="0"/>
        <w:keepLines w:val="0"/>
        <w:pageBreakBefore w:val="0"/>
        <w:widowControl/>
        <w:kinsoku w:val="0"/>
        <w:wordWrap/>
        <w:overflowPunct/>
        <w:topLinePunct w:val="0"/>
        <w:autoSpaceDE w:val="0"/>
        <w:autoSpaceDN w:val="0"/>
        <w:bidi w:val="0"/>
        <w:adjustRightInd w:val="0"/>
        <w:snapToGrid w:val="0"/>
        <w:spacing w:line="600" w:lineRule="exact"/>
        <w:ind w:left="670"/>
        <w:textAlignment w:val="baseline"/>
        <w:rPr>
          <w:rFonts w:hint="eastAsia" w:ascii="仿宋_GB2312" w:hAnsi="仿宋_GB2312" w:eastAsia="仿宋_GB2312" w:cs="仿宋_GB2312"/>
          <w:spacing w:val="3"/>
          <w:sz w:val="32"/>
          <w:szCs w:val="32"/>
        </w:rPr>
      </w:pPr>
    </w:p>
    <w:p w14:paraId="3692BAEE">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pacing w:val="3"/>
          <w:sz w:val="32"/>
          <w:szCs w:val="32"/>
        </w:rPr>
        <w:sectPr>
          <w:footerReference r:id="rId7" w:type="default"/>
          <w:pgSz w:w="11906" w:h="16839"/>
          <w:pgMar w:top="1431" w:right="1384" w:bottom="1148" w:left="1592" w:header="0" w:footer="707" w:gutter="0"/>
          <w:pgNumType w:fmt="decimal" w:start="1"/>
          <w:cols w:space="720" w:num="1"/>
        </w:sectPr>
      </w:pPr>
    </w:p>
    <w:p w14:paraId="2998B25B">
      <w:pPr>
        <w:spacing w:before="101" w:line="219" w:lineRule="auto"/>
        <w:ind w:left="220"/>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附件：</w:t>
      </w:r>
    </w:p>
    <w:p w14:paraId="464C8E32">
      <w:pPr>
        <w:spacing w:before="143" w:line="419" w:lineRule="exact"/>
        <w:ind w:left="4208"/>
        <w:rPr>
          <w:rFonts w:hint="eastAsia" w:ascii="仿宋_GB2312" w:hAnsi="仿宋_GB2312" w:eastAsia="仿宋_GB2312" w:cs="仿宋_GB2312"/>
          <w:sz w:val="32"/>
          <w:szCs w:val="32"/>
        </w:rPr>
      </w:pPr>
      <w:r>
        <w:rPr>
          <w:rFonts w:hint="eastAsia" w:ascii="仿宋_GB2312" w:hAnsi="仿宋_GB2312" w:eastAsia="仿宋_GB2312" w:cs="仿宋_GB2312"/>
          <w:spacing w:val="5"/>
          <w:position w:val="1"/>
          <w:sz w:val="32"/>
          <w:szCs w:val="32"/>
        </w:rPr>
        <w:t>2025年</w:t>
      </w:r>
      <w:r>
        <w:rPr>
          <w:rFonts w:hint="eastAsia" w:ascii="仿宋_GB2312" w:hAnsi="仿宋_GB2312" w:eastAsia="仿宋_GB2312" w:cs="仿宋_GB2312"/>
          <w:position w:val="1"/>
          <w:sz w:val="32"/>
          <w:szCs w:val="32"/>
        </w:rPr>
        <w:t>xx</w:t>
      </w:r>
      <w:r>
        <w:rPr>
          <w:rFonts w:hint="eastAsia" w:ascii="仿宋_GB2312" w:hAnsi="仿宋_GB2312" w:eastAsia="仿宋_GB2312" w:cs="仿宋_GB2312"/>
          <w:spacing w:val="5"/>
          <w:position w:val="1"/>
          <w:sz w:val="32"/>
          <w:szCs w:val="32"/>
        </w:rPr>
        <w:t>市汛期值班电话一览表</w:t>
      </w:r>
    </w:p>
    <w:p w14:paraId="74BB0578">
      <w:pPr>
        <w:spacing w:before="192" w:line="222" w:lineRule="auto"/>
        <w:ind w:left="5526"/>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（区号</w:t>
      </w:r>
      <w:r>
        <w:rPr>
          <w:rFonts w:hint="eastAsia" w:ascii="仿宋_GB2312" w:hAnsi="仿宋_GB2312" w:eastAsia="仿宋_GB2312" w:cs="仿宋_GB2312"/>
          <w:sz w:val="32"/>
          <w:szCs w:val="32"/>
        </w:rPr>
        <w:t>：</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z w:val="32"/>
          <w:szCs w:val="32"/>
        </w:rPr>
        <w:t>）</w:t>
      </w:r>
    </w:p>
    <w:p w14:paraId="176FFB7C">
      <w:pPr>
        <w:spacing w:line="95" w:lineRule="auto"/>
        <w:rPr>
          <w:rFonts w:ascii="Arial"/>
          <w:sz w:val="2"/>
        </w:rPr>
      </w:pPr>
    </w:p>
    <w:tbl>
      <w:tblPr>
        <w:tblStyle w:val="7"/>
        <w:tblW w:w="131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6"/>
        <w:gridCol w:w="1184"/>
        <w:gridCol w:w="1043"/>
        <w:gridCol w:w="946"/>
        <w:gridCol w:w="989"/>
        <w:gridCol w:w="1033"/>
        <w:gridCol w:w="1287"/>
        <w:gridCol w:w="1043"/>
        <w:gridCol w:w="1064"/>
        <w:gridCol w:w="972"/>
        <w:gridCol w:w="913"/>
        <w:gridCol w:w="1048"/>
      </w:tblGrid>
      <w:tr w14:paraId="43D8C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96" w:type="dxa"/>
            <w:vMerge w:val="restart"/>
            <w:tcBorders>
              <w:bottom w:val="nil"/>
            </w:tcBorders>
            <w:vAlign w:val="top"/>
          </w:tcPr>
          <w:p w14:paraId="44BE0096">
            <w:pPr>
              <w:spacing w:before="89" w:line="219" w:lineRule="auto"/>
              <w:ind w:left="168"/>
              <w:rPr>
                <w:rFonts w:hint="eastAsia" w:ascii="仿宋_GB2312" w:hAnsi="仿宋_GB2312" w:eastAsia="仿宋_GB2312" w:cs="仿宋_GB2312"/>
                <w:sz w:val="31"/>
                <w:szCs w:val="31"/>
              </w:rPr>
            </w:pPr>
            <w:r>
              <w:rPr>
                <w:rFonts w:hint="eastAsia" w:ascii="仿宋_GB2312" w:hAnsi="仿宋_GB2312" w:eastAsia="仿宋_GB2312" w:cs="仿宋_GB2312"/>
                <w:spacing w:val="6"/>
                <w:sz w:val="31"/>
                <w:szCs w:val="31"/>
              </w:rPr>
              <w:t>行政区划</w:t>
            </w:r>
          </w:p>
          <w:p w14:paraId="5EEB732B">
            <w:pPr>
              <w:spacing w:before="71" w:line="221" w:lineRule="auto"/>
              <w:ind w:left="342"/>
              <w:rPr>
                <w:rFonts w:hint="eastAsia" w:ascii="仿宋_GB2312" w:hAnsi="仿宋_GB2312" w:eastAsia="仿宋_GB2312" w:cs="仿宋_GB2312"/>
                <w:sz w:val="31"/>
                <w:szCs w:val="31"/>
              </w:rPr>
            </w:pPr>
            <w:r>
              <w:rPr>
                <w:rFonts w:hint="eastAsia" w:ascii="仿宋_GB2312" w:hAnsi="仿宋_GB2312" w:eastAsia="仿宋_GB2312" w:cs="仿宋_GB2312"/>
                <w:spacing w:val="3"/>
                <w:sz w:val="31"/>
                <w:szCs w:val="31"/>
              </w:rPr>
              <w:t>市、县</w:t>
            </w:r>
          </w:p>
          <w:p w14:paraId="03B7E893">
            <w:pPr>
              <w:spacing w:before="70" w:line="213" w:lineRule="auto"/>
              <w:jc w:val="right"/>
              <w:rPr>
                <w:rFonts w:hint="eastAsia" w:ascii="仿宋_GB2312" w:hAnsi="仿宋_GB2312" w:eastAsia="仿宋_GB2312" w:cs="仿宋_GB2312"/>
                <w:sz w:val="31"/>
                <w:szCs w:val="31"/>
              </w:rPr>
            </w:pPr>
            <w:r>
              <w:rPr>
                <w:rFonts w:hint="eastAsia" w:ascii="仿宋_GB2312" w:hAnsi="仿宋_GB2312" w:eastAsia="仿宋_GB2312" w:cs="仿宋_GB2312"/>
                <w:spacing w:val="-15"/>
                <w:sz w:val="31"/>
                <w:szCs w:val="31"/>
              </w:rPr>
              <w:t>（市、区）</w:t>
            </w:r>
          </w:p>
        </w:tc>
        <w:tc>
          <w:tcPr>
            <w:tcW w:w="1184" w:type="dxa"/>
            <w:vMerge w:val="restart"/>
            <w:tcBorders>
              <w:bottom w:val="nil"/>
            </w:tcBorders>
            <w:vAlign w:val="top"/>
          </w:tcPr>
          <w:p w14:paraId="77739A3C">
            <w:pPr>
              <w:spacing w:before="41" w:line="419" w:lineRule="exact"/>
              <w:ind w:left="234"/>
              <w:rPr>
                <w:rFonts w:hint="eastAsia" w:ascii="仿宋_GB2312" w:hAnsi="仿宋_GB2312" w:eastAsia="仿宋_GB2312" w:cs="仿宋_GB2312"/>
                <w:sz w:val="31"/>
                <w:szCs w:val="31"/>
              </w:rPr>
            </w:pPr>
            <w:r>
              <w:rPr>
                <w:rFonts w:hint="eastAsia" w:ascii="仿宋_GB2312" w:hAnsi="仿宋_GB2312" w:eastAsia="仿宋_GB2312" w:cs="仿宋_GB2312"/>
                <w:position w:val="2"/>
                <w:sz w:val="31"/>
                <w:szCs w:val="31"/>
              </w:rPr>
              <w:t>24</w:t>
            </w:r>
            <w:r>
              <w:rPr>
                <w:rFonts w:hint="eastAsia" w:ascii="仿宋_GB2312" w:hAnsi="仿宋_GB2312" w:eastAsia="仿宋_GB2312" w:cs="仿宋_GB2312"/>
                <w:spacing w:val="20"/>
                <w:position w:val="2"/>
                <w:sz w:val="31"/>
                <w:szCs w:val="31"/>
              </w:rPr>
              <w:t xml:space="preserve"> </w:t>
            </w:r>
            <w:r>
              <w:rPr>
                <w:rFonts w:hint="eastAsia" w:ascii="仿宋_GB2312" w:hAnsi="仿宋_GB2312" w:eastAsia="仿宋_GB2312" w:cs="仿宋_GB2312"/>
                <w:position w:val="2"/>
                <w:sz w:val="31"/>
                <w:szCs w:val="31"/>
              </w:rPr>
              <w:t>小</w:t>
            </w:r>
          </w:p>
          <w:p w14:paraId="6856D6E3">
            <w:pPr>
              <w:spacing w:before="68" w:line="238" w:lineRule="auto"/>
              <w:ind w:left="318" w:right="111" w:hanging="168"/>
              <w:rPr>
                <w:rFonts w:hint="eastAsia" w:ascii="仿宋_GB2312" w:hAnsi="仿宋_GB2312" w:eastAsia="仿宋_GB2312" w:cs="仿宋_GB2312"/>
                <w:sz w:val="31"/>
                <w:szCs w:val="31"/>
              </w:rPr>
            </w:pPr>
            <w:r>
              <w:rPr>
                <w:rFonts w:hint="eastAsia" w:ascii="仿宋_GB2312" w:hAnsi="仿宋_GB2312" w:eastAsia="仿宋_GB2312" w:cs="仿宋_GB2312"/>
                <w:spacing w:val="-5"/>
                <w:sz w:val="31"/>
                <w:szCs w:val="31"/>
              </w:rPr>
              <w:t>时值班</w:t>
            </w:r>
            <w:r>
              <w:rPr>
                <w:rFonts w:hint="eastAsia" w:ascii="仿宋_GB2312" w:hAnsi="仿宋_GB2312" w:eastAsia="仿宋_GB2312" w:cs="仿宋_GB2312"/>
                <w:spacing w:val="1"/>
                <w:sz w:val="31"/>
                <w:szCs w:val="31"/>
              </w:rPr>
              <w:t xml:space="preserve"> </w:t>
            </w:r>
            <w:r>
              <w:rPr>
                <w:rFonts w:hint="eastAsia" w:ascii="仿宋_GB2312" w:hAnsi="仿宋_GB2312" w:eastAsia="仿宋_GB2312" w:cs="仿宋_GB2312"/>
                <w:spacing w:val="-16"/>
                <w:sz w:val="31"/>
                <w:szCs w:val="31"/>
              </w:rPr>
              <w:t>电话</w:t>
            </w:r>
          </w:p>
        </w:tc>
        <w:tc>
          <w:tcPr>
            <w:tcW w:w="1043" w:type="dxa"/>
            <w:vMerge w:val="restart"/>
            <w:tcBorders>
              <w:bottom w:val="nil"/>
            </w:tcBorders>
            <w:vAlign w:val="top"/>
          </w:tcPr>
          <w:p w14:paraId="6166B01B">
            <w:pPr>
              <w:spacing w:before="41" w:line="419" w:lineRule="exact"/>
              <w:ind w:left="163"/>
              <w:rPr>
                <w:rFonts w:hint="eastAsia" w:ascii="仿宋_GB2312" w:hAnsi="仿宋_GB2312" w:eastAsia="仿宋_GB2312" w:cs="仿宋_GB2312"/>
                <w:sz w:val="31"/>
                <w:szCs w:val="31"/>
              </w:rPr>
            </w:pPr>
            <w:r>
              <w:rPr>
                <w:rFonts w:hint="eastAsia" w:ascii="仿宋_GB2312" w:hAnsi="仿宋_GB2312" w:eastAsia="仿宋_GB2312" w:cs="仿宋_GB2312"/>
                <w:position w:val="2"/>
                <w:sz w:val="31"/>
                <w:szCs w:val="31"/>
              </w:rPr>
              <w:t>24</w:t>
            </w:r>
            <w:r>
              <w:rPr>
                <w:rFonts w:hint="eastAsia" w:ascii="仿宋_GB2312" w:hAnsi="仿宋_GB2312" w:eastAsia="仿宋_GB2312" w:cs="仿宋_GB2312"/>
                <w:spacing w:val="20"/>
                <w:position w:val="2"/>
                <w:sz w:val="31"/>
                <w:szCs w:val="31"/>
              </w:rPr>
              <w:t xml:space="preserve"> </w:t>
            </w:r>
            <w:r>
              <w:rPr>
                <w:rFonts w:hint="eastAsia" w:ascii="仿宋_GB2312" w:hAnsi="仿宋_GB2312" w:eastAsia="仿宋_GB2312" w:cs="仿宋_GB2312"/>
                <w:position w:val="2"/>
                <w:sz w:val="31"/>
                <w:szCs w:val="31"/>
              </w:rPr>
              <w:t>小</w:t>
            </w:r>
          </w:p>
          <w:p w14:paraId="361AA3E1">
            <w:pPr>
              <w:spacing w:before="68" w:line="219" w:lineRule="auto"/>
              <w:ind w:left="240"/>
              <w:rPr>
                <w:rFonts w:hint="eastAsia" w:ascii="仿宋_GB2312" w:hAnsi="仿宋_GB2312" w:eastAsia="仿宋_GB2312" w:cs="仿宋_GB2312"/>
                <w:sz w:val="31"/>
                <w:szCs w:val="31"/>
              </w:rPr>
            </w:pPr>
            <w:r>
              <w:rPr>
                <w:rFonts w:hint="eastAsia" w:ascii="仿宋_GB2312" w:hAnsi="仿宋_GB2312" w:eastAsia="仿宋_GB2312" w:cs="仿宋_GB2312"/>
                <w:spacing w:val="-13"/>
                <w:sz w:val="31"/>
                <w:szCs w:val="31"/>
              </w:rPr>
              <w:t>时传</w:t>
            </w:r>
          </w:p>
          <w:p w14:paraId="020612DF">
            <w:pPr>
              <w:spacing w:before="73" w:line="213" w:lineRule="auto"/>
              <w:ind w:left="381"/>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真</w:t>
            </w:r>
          </w:p>
        </w:tc>
        <w:tc>
          <w:tcPr>
            <w:tcW w:w="946" w:type="dxa"/>
            <w:vMerge w:val="restart"/>
            <w:tcBorders>
              <w:bottom w:val="nil"/>
            </w:tcBorders>
            <w:vAlign w:val="top"/>
          </w:tcPr>
          <w:p w14:paraId="227D6003">
            <w:pPr>
              <w:spacing w:before="310" w:line="219" w:lineRule="auto"/>
              <w:ind w:left="174"/>
              <w:rPr>
                <w:rFonts w:hint="eastAsia" w:ascii="仿宋_GB2312" w:hAnsi="仿宋_GB2312" w:eastAsia="仿宋_GB2312" w:cs="仿宋_GB2312"/>
                <w:sz w:val="31"/>
                <w:szCs w:val="31"/>
              </w:rPr>
            </w:pPr>
            <w:r>
              <w:rPr>
                <w:rFonts w:hint="eastAsia" w:ascii="仿宋_GB2312" w:hAnsi="仿宋_GB2312" w:eastAsia="仿宋_GB2312" w:cs="仿宋_GB2312"/>
                <w:spacing w:val="-4"/>
                <w:sz w:val="31"/>
                <w:szCs w:val="31"/>
              </w:rPr>
              <w:t>主管</w:t>
            </w:r>
          </w:p>
          <w:p w14:paraId="58463B70">
            <w:pPr>
              <w:spacing w:before="71" w:line="225" w:lineRule="auto"/>
              <w:ind w:left="166"/>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局长</w:t>
            </w:r>
          </w:p>
        </w:tc>
        <w:tc>
          <w:tcPr>
            <w:tcW w:w="2022" w:type="dxa"/>
            <w:gridSpan w:val="2"/>
            <w:vAlign w:val="top"/>
          </w:tcPr>
          <w:p w14:paraId="2CCC95E7">
            <w:pPr>
              <w:spacing w:before="84" w:line="211" w:lineRule="auto"/>
              <w:ind w:left="379"/>
              <w:rPr>
                <w:rFonts w:hint="eastAsia" w:ascii="仿宋_GB2312" w:hAnsi="仿宋_GB2312" w:eastAsia="仿宋_GB2312" w:cs="仿宋_GB2312"/>
                <w:sz w:val="31"/>
                <w:szCs w:val="31"/>
              </w:rPr>
            </w:pPr>
            <w:r>
              <w:rPr>
                <w:rFonts w:hint="eastAsia" w:ascii="仿宋_GB2312" w:hAnsi="仿宋_GB2312" w:eastAsia="仿宋_GB2312" w:cs="仿宋_GB2312"/>
                <w:spacing w:val="6"/>
                <w:sz w:val="31"/>
                <w:szCs w:val="31"/>
              </w:rPr>
              <w:t>联系电话</w:t>
            </w:r>
          </w:p>
        </w:tc>
        <w:tc>
          <w:tcPr>
            <w:tcW w:w="1287" w:type="dxa"/>
            <w:vMerge w:val="restart"/>
            <w:tcBorders>
              <w:bottom w:val="nil"/>
            </w:tcBorders>
            <w:vAlign w:val="top"/>
          </w:tcPr>
          <w:p w14:paraId="54DD4F6F">
            <w:pPr>
              <w:spacing w:before="89" w:line="219" w:lineRule="auto"/>
              <w:ind w:left="187"/>
              <w:rPr>
                <w:rFonts w:hint="eastAsia" w:ascii="仿宋_GB2312" w:hAnsi="仿宋_GB2312" w:eastAsia="仿宋_GB2312" w:cs="仿宋_GB2312"/>
                <w:sz w:val="31"/>
                <w:szCs w:val="31"/>
              </w:rPr>
            </w:pPr>
            <w:r>
              <w:rPr>
                <w:rFonts w:hint="eastAsia" w:ascii="仿宋_GB2312" w:hAnsi="仿宋_GB2312" w:eastAsia="仿宋_GB2312" w:cs="仿宋_GB2312"/>
                <w:spacing w:val="1"/>
                <w:sz w:val="31"/>
                <w:szCs w:val="31"/>
              </w:rPr>
              <w:t>主管科</w:t>
            </w:r>
          </w:p>
          <w:p w14:paraId="44E27D67">
            <w:pPr>
              <w:spacing w:before="71" w:line="238" w:lineRule="auto"/>
              <w:ind w:left="495" w:right="165" w:hanging="330"/>
              <w:rPr>
                <w:rFonts w:hint="eastAsia" w:ascii="仿宋_GB2312" w:hAnsi="仿宋_GB2312" w:eastAsia="仿宋_GB2312" w:cs="仿宋_GB2312"/>
                <w:sz w:val="31"/>
                <w:szCs w:val="31"/>
              </w:rPr>
            </w:pPr>
            <w:r>
              <w:rPr>
                <w:rFonts w:hint="eastAsia" w:ascii="仿宋_GB2312" w:hAnsi="仿宋_GB2312" w:eastAsia="仿宋_GB2312" w:cs="仿宋_GB2312"/>
                <w:spacing w:val="6"/>
                <w:sz w:val="31"/>
                <w:szCs w:val="31"/>
              </w:rPr>
              <w:t>（处）</w:t>
            </w:r>
            <w:r>
              <w:rPr>
                <w:rFonts w:hint="eastAsia" w:ascii="仿宋_GB2312" w:hAnsi="仿宋_GB2312" w:eastAsia="仿宋_GB2312" w:cs="仿宋_GB2312"/>
                <w:spacing w:val="1"/>
                <w:sz w:val="31"/>
                <w:szCs w:val="31"/>
              </w:rPr>
              <w:t xml:space="preserve"> </w:t>
            </w:r>
            <w:r>
              <w:rPr>
                <w:rFonts w:hint="eastAsia" w:ascii="仿宋_GB2312" w:hAnsi="仿宋_GB2312" w:eastAsia="仿宋_GB2312" w:cs="仿宋_GB2312"/>
                <w:sz w:val="31"/>
                <w:szCs w:val="31"/>
              </w:rPr>
              <w:t>长</w:t>
            </w:r>
          </w:p>
        </w:tc>
        <w:tc>
          <w:tcPr>
            <w:tcW w:w="2107" w:type="dxa"/>
            <w:gridSpan w:val="2"/>
            <w:vAlign w:val="top"/>
          </w:tcPr>
          <w:p w14:paraId="75AB483B">
            <w:pPr>
              <w:spacing w:before="84" w:line="211" w:lineRule="auto"/>
              <w:ind w:left="425"/>
              <w:rPr>
                <w:rFonts w:hint="eastAsia" w:ascii="仿宋_GB2312" w:hAnsi="仿宋_GB2312" w:eastAsia="仿宋_GB2312" w:cs="仿宋_GB2312"/>
                <w:sz w:val="31"/>
                <w:szCs w:val="31"/>
              </w:rPr>
            </w:pPr>
            <w:r>
              <w:rPr>
                <w:rFonts w:hint="eastAsia" w:ascii="仿宋_GB2312" w:hAnsi="仿宋_GB2312" w:eastAsia="仿宋_GB2312" w:cs="仿宋_GB2312"/>
                <w:spacing w:val="6"/>
                <w:sz w:val="31"/>
                <w:szCs w:val="31"/>
              </w:rPr>
              <w:t>联系电话</w:t>
            </w:r>
          </w:p>
        </w:tc>
        <w:tc>
          <w:tcPr>
            <w:tcW w:w="972" w:type="dxa"/>
            <w:vMerge w:val="restart"/>
            <w:tcBorders>
              <w:bottom w:val="nil"/>
            </w:tcBorders>
            <w:vAlign w:val="top"/>
          </w:tcPr>
          <w:p w14:paraId="6438D5A5">
            <w:pPr>
              <w:spacing w:before="311" w:line="222" w:lineRule="auto"/>
              <w:ind w:left="185"/>
              <w:rPr>
                <w:rFonts w:hint="eastAsia" w:ascii="仿宋_GB2312" w:hAnsi="仿宋_GB2312" w:eastAsia="仿宋_GB2312" w:cs="仿宋_GB2312"/>
                <w:sz w:val="31"/>
                <w:szCs w:val="31"/>
              </w:rPr>
            </w:pPr>
            <w:r>
              <w:rPr>
                <w:rFonts w:hint="eastAsia" w:ascii="仿宋_GB2312" w:hAnsi="仿宋_GB2312" w:eastAsia="仿宋_GB2312" w:cs="仿宋_GB2312"/>
                <w:spacing w:val="-1"/>
                <w:sz w:val="31"/>
                <w:szCs w:val="31"/>
              </w:rPr>
              <w:t>工作</w:t>
            </w:r>
          </w:p>
          <w:p w14:paraId="41AEC454">
            <w:pPr>
              <w:spacing w:before="65" w:line="222" w:lineRule="auto"/>
              <w:ind w:left="180"/>
              <w:rPr>
                <w:rFonts w:hint="eastAsia" w:ascii="仿宋_GB2312" w:hAnsi="仿宋_GB2312" w:eastAsia="仿宋_GB2312" w:cs="仿宋_GB2312"/>
                <w:sz w:val="31"/>
                <w:szCs w:val="31"/>
              </w:rPr>
            </w:pPr>
            <w:r>
              <w:rPr>
                <w:rFonts w:hint="eastAsia" w:ascii="仿宋_GB2312" w:hAnsi="仿宋_GB2312" w:eastAsia="仿宋_GB2312" w:cs="仿宋_GB2312"/>
                <w:spacing w:val="1"/>
                <w:sz w:val="31"/>
                <w:szCs w:val="31"/>
              </w:rPr>
              <w:t>人员</w:t>
            </w:r>
          </w:p>
        </w:tc>
        <w:tc>
          <w:tcPr>
            <w:tcW w:w="1961" w:type="dxa"/>
            <w:gridSpan w:val="2"/>
            <w:vAlign w:val="top"/>
          </w:tcPr>
          <w:p w14:paraId="0AAC41E8">
            <w:pPr>
              <w:spacing w:before="84" w:line="211" w:lineRule="auto"/>
              <w:ind w:left="351"/>
              <w:rPr>
                <w:rFonts w:hint="eastAsia" w:ascii="仿宋_GB2312" w:hAnsi="仿宋_GB2312" w:eastAsia="仿宋_GB2312" w:cs="仿宋_GB2312"/>
                <w:sz w:val="31"/>
                <w:szCs w:val="31"/>
              </w:rPr>
            </w:pPr>
            <w:r>
              <w:rPr>
                <w:rFonts w:hint="eastAsia" w:ascii="仿宋_GB2312" w:hAnsi="仿宋_GB2312" w:eastAsia="仿宋_GB2312" w:cs="仿宋_GB2312"/>
                <w:spacing w:val="6"/>
                <w:sz w:val="31"/>
                <w:szCs w:val="31"/>
              </w:rPr>
              <w:t>联系电话</w:t>
            </w:r>
          </w:p>
        </w:tc>
      </w:tr>
      <w:tr w14:paraId="1D9C8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596" w:type="dxa"/>
            <w:vMerge w:val="continue"/>
            <w:tcBorders>
              <w:top w:val="nil"/>
            </w:tcBorders>
            <w:vAlign w:val="top"/>
          </w:tcPr>
          <w:p w14:paraId="3CC12EE0">
            <w:pPr>
              <w:pStyle w:val="8"/>
              <w:rPr>
                <w:rFonts w:hint="eastAsia" w:ascii="仿宋_GB2312" w:hAnsi="仿宋_GB2312" w:eastAsia="仿宋_GB2312" w:cs="仿宋_GB2312"/>
              </w:rPr>
            </w:pPr>
          </w:p>
        </w:tc>
        <w:tc>
          <w:tcPr>
            <w:tcW w:w="1184" w:type="dxa"/>
            <w:vMerge w:val="continue"/>
            <w:tcBorders>
              <w:top w:val="nil"/>
            </w:tcBorders>
            <w:vAlign w:val="top"/>
          </w:tcPr>
          <w:p w14:paraId="742997FE">
            <w:pPr>
              <w:pStyle w:val="8"/>
              <w:rPr>
                <w:rFonts w:hint="eastAsia" w:ascii="仿宋_GB2312" w:hAnsi="仿宋_GB2312" w:eastAsia="仿宋_GB2312" w:cs="仿宋_GB2312"/>
              </w:rPr>
            </w:pPr>
          </w:p>
        </w:tc>
        <w:tc>
          <w:tcPr>
            <w:tcW w:w="1043" w:type="dxa"/>
            <w:vMerge w:val="continue"/>
            <w:tcBorders>
              <w:top w:val="nil"/>
            </w:tcBorders>
            <w:vAlign w:val="top"/>
          </w:tcPr>
          <w:p w14:paraId="0A042330">
            <w:pPr>
              <w:pStyle w:val="8"/>
              <w:rPr>
                <w:rFonts w:hint="eastAsia" w:ascii="仿宋_GB2312" w:hAnsi="仿宋_GB2312" w:eastAsia="仿宋_GB2312" w:cs="仿宋_GB2312"/>
              </w:rPr>
            </w:pPr>
          </w:p>
        </w:tc>
        <w:tc>
          <w:tcPr>
            <w:tcW w:w="946" w:type="dxa"/>
            <w:vMerge w:val="continue"/>
            <w:tcBorders>
              <w:top w:val="nil"/>
            </w:tcBorders>
            <w:vAlign w:val="top"/>
          </w:tcPr>
          <w:p w14:paraId="02159531">
            <w:pPr>
              <w:pStyle w:val="8"/>
              <w:rPr>
                <w:rFonts w:hint="eastAsia" w:ascii="仿宋_GB2312" w:hAnsi="仿宋_GB2312" w:eastAsia="仿宋_GB2312" w:cs="仿宋_GB2312"/>
              </w:rPr>
            </w:pPr>
          </w:p>
        </w:tc>
        <w:tc>
          <w:tcPr>
            <w:tcW w:w="989" w:type="dxa"/>
            <w:vAlign w:val="top"/>
          </w:tcPr>
          <w:p w14:paraId="5B229D89">
            <w:pPr>
              <w:spacing w:before="82" w:line="225" w:lineRule="auto"/>
              <w:ind w:left="209"/>
              <w:rPr>
                <w:rFonts w:hint="eastAsia" w:ascii="仿宋_GB2312" w:hAnsi="仿宋_GB2312" w:eastAsia="仿宋_GB2312" w:cs="仿宋_GB2312"/>
                <w:sz w:val="31"/>
                <w:szCs w:val="31"/>
              </w:rPr>
            </w:pPr>
            <w:r>
              <w:rPr>
                <w:rFonts w:hint="eastAsia" w:ascii="仿宋_GB2312" w:hAnsi="仿宋_GB2312" w:eastAsia="仿宋_GB2312" w:cs="仿宋_GB2312"/>
                <w:spacing w:val="-11"/>
                <w:sz w:val="31"/>
                <w:szCs w:val="31"/>
              </w:rPr>
              <w:t>固定</w:t>
            </w:r>
          </w:p>
          <w:p w14:paraId="129CB921">
            <w:pPr>
              <w:spacing w:before="60" w:line="210" w:lineRule="auto"/>
              <w:ind w:left="219"/>
              <w:rPr>
                <w:rFonts w:hint="eastAsia" w:ascii="仿宋_GB2312" w:hAnsi="仿宋_GB2312" w:eastAsia="仿宋_GB2312" w:cs="仿宋_GB2312"/>
                <w:sz w:val="31"/>
                <w:szCs w:val="31"/>
              </w:rPr>
            </w:pPr>
            <w:r>
              <w:rPr>
                <w:rFonts w:hint="eastAsia" w:ascii="仿宋_GB2312" w:hAnsi="仿宋_GB2312" w:eastAsia="仿宋_GB2312" w:cs="仿宋_GB2312"/>
                <w:spacing w:val="-16"/>
                <w:sz w:val="31"/>
                <w:szCs w:val="31"/>
              </w:rPr>
              <w:t>电话</w:t>
            </w:r>
          </w:p>
        </w:tc>
        <w:tc>
          <w:tcPr>
            <w:tcW w:w="1033" w:type="dxa"/>
            <w:vAlign w:val="top"/>
          </w:tcPr>
          <w:p w14:paraId="62ED8ABC">
            <w:pPr>
              <w:spacing w:before="299" w:line="220" w:lineRule="auto"/>
              <w:ind w:left="219"/>
              <w:rPr>
                <w:rFonts w:hint="eastAsia" w:ascii="仿宋_GB2312" w:hAnsi="仿宋_GB2312" w:eastAsia="仿宋_GB2312" w:cs="仿宋_GB2312"/>
                <w:sz w:val="31"/>
                <w:szCs w:val="31"/>
              </w:rPr>
            </w:pPr>
            <w:r>
              <w:rPr>
                <w:rFonts w:hint="eastAsia" w:ascii="仿宋_GB2312" w:hAnsi="仿宋_GB2312" w:eastAsia="仿宋_GB2312" w:cs="仿宋_GB2312"/>
                <w:spacing w:val="-4"/>
                <w:sz w:val="31"/>
                <w:szCs w:val="31"/>
              </w:rPr>
              <w:t>手机</w:t>
            </w:r>
          </w:p>
        </w:tc>
        <w:tc>
          <w:tcPr>
            <w:tcW w:w="1287" w:type="dxa"/>
            <w:vMerge w:val="continue"/>
            <w:tcBorders>
              <w:top w:val="nil"/>
            </w:tcBorders>
            <w:vAlign w:val="top"/>
          </w:tcPr>
          <w:p w14:paraId="5BC1D68C">
            <w:pPr>
              <w:pStyle w:val="8"/>
              <w:rPr>
                <w:rFonts w:hint="eastAsia" w:ascii="仿宋_GB2312" w:hAnsi="仿宋_GB2312" w:eastAsia="仿宋_GB2312" w:cs="仿宋_GB2312"/>
              </w:rPr>
            </w:pPr>
          </w:p>
        </w:tc>
        <w:tc>
          <w:tcPr>
            <w:tcW w:w="1043" w:type="dxa"/>
            <w:vAlign w:val="top"/>
          </w:tcPr>
          <w:p w14:paraId="3C5F058F">
            <w:pPr>
              <w:spacing w:before="82" w:line="225" w:lineRule="auto"/>
              <w:ind w:left="239"/>
              <w:rPr>
                <w:rFonts w:hint="eastAsia" w:ascii="仿宋_GB2312" w:hAnsi="仿宋_GB2312" w:eastAsia="仿宋_GB2312" w:cs="仿宋_GB2312"/>
                <w:sz w:val="31"/>
                <w:szCs w:val="31"/>
              </w:rPr>
            </w:pPr>
            <w:r>
              <w:rPr>
                <w:rFonts w:hint="eastAsia" w:ascii="仿宋_GB2312" w:hAnsi="仿宋_GB2312" w:eastAsia="仿宋_GB2312" w:cs="仿宋_GB2312"/>
                <w:spacing w:val="-11"/>
                <w:sz w:val="31"/>
                <w:szCs w:val="31"/>
              </w:rPr>
              <w:t>固定</w:t>
            </w:r>
          </w:p>
          <w:p w14:paraId="60DBD4F8">
            <w:pPr>
              <w:spacing w:before="60" w:line="210" w:lineRule="auto"/>
              <w:ind w:left="248"/>
              <w:rPr>
                <w:rFonts w:hint="eastAsia" w:ascii="仿宋_GB2312" w:hAnsi="仿宋_GB2312" w:eastAsia="仿宋_GB2312" w:cs="仿宋_GB2312"/>
                <w:sz w:val="31"/>
                <w:szCs w:val="31"/>
              </w:rPr>
            </w:pPr>
            <w:r>
              <w:rPr>
                <w:rFonts w:hint="eastAsia" w:ascii="仿宋_GB2312" w:hAnsi="仿宋_GB2312" w:eastAsia="仿宋_GB2312" w:cs="仿宋_GB2312"/>
                <w:spacing w:val="-16"/>
                <w:sz w:val="31"/>
                <w:szCs w:val="31"/>
              </w:rPr>
              <w:t>电话</w:t>
            </w:r>
          </w:p>
        </w:tc>
        <w:tc>
          <w:tcPr>
            <w:tcW w:w="1064" w:type="dxa"/>
            <w:vAlign w:val="top"/>
          </w:tcPr>
          <w:p w14:paraId="784095E5">
            <w:pPr>
              <w:spacing w:before="299" w:line="220" w:lineRule="auto"/>
              <w:ind w:left="235"/>
              <w:rPr>
                <w:rFonts w:hint="eastAsia" w:ascii="仿宋_GB2312" w:hAnsi="仿宋_GB2312" w:eastAsia="仿宋_GB2312" w:cs="仿宋_GB2312"/>
                <w:sz w:val="31"/>
                <w:szCs w:val="31"/>
              </w:rPr>
            </w:pPr>
            <w:r>
              <w:rPr>
                <w:rFonts w:hint="eastAsia" w:ascii="仿宋_GB2312" w:hAnsi="仿宋_GB2312" w:eastAsia="仿宋_GB2312" w:cs="仿宋_GB2312"/>
                <w:spacing w:val="-4"/>
                <w:sz w:val="31"/>
                <w:szCs w:val="31"/>
              </w:rPr>
              <w:t>手机</w:t>
            </w:r>
          </w:p>
        </w:tc>
        <w:tc>
          <w:tcPr>
            <w:tcW w:w="972" w:type="dxa"/>
            <w:vMerge w:val="continue"/>
            <w:tcBorders>
              <w:top w:val="nil"/>
            </w:tcBorders>
            <w:vAlign w:val="top"/>
          </w:tcPr>
          <w:p w14:paraId="1181E9A1">
            <w:pPr>
              <w:pStyle w:val="8"/>
              <w:rPr>
                <w:rFonts w:hint="eastAsia" w:ascii="仿宋_GB2312" w:hAnsi="仿宋_GB2312" w:eastAsia="仿宋_GB2312" w:cs="仿宋_GB2312"/>
              </w:rPr>
            </w:pPr>
          </w:p>
        </w:tc>
        <w:tc>
          <w:tcPr>
            <w:tcW w:w="913" w:type="dxa"/>
            <w:vAlign w:val="top"/>
          </w:tcPr>
          <w:p w14:paraId="1D172450">
            <w:pPr>
              <w:spacing w:before="82" w:line="225" w:lineRule="auto"/>
              <w:ind w:left="174"/>
              <w:rPr>
                <w:rFonts w:hint="eastAsia" w:ascii="仿宋_GB2312" w:hAnsi="仿宋_GB2312" w:eastAsia="仿宋_GB2312" w:cs="仿宋_GB2312"/>
                <w:sz w:val="31"/>
                <w:szCs w:val="31"/>
              </w:rPr>
            </w:pPr>
            <w:r>
              <w:rPr>
                <w:rFonts w:hint="eastAsia" w:ascii="仿宋_GB2312" w:hAnsi="仿宋_GB2312" w:eastAsia="仿宋_GB2312" w:cs="仿宋_GB2312"/>
                <w:spacing w:val="-11"/>
                <w:sz w:val="31"/>
                <w:szCs w:val="31"/>
              </w:rPr>
              <w:t>固定</w:t>
            </w:r>
          </w:p>
          <w:p w14:paraId="54CFB667">
            <w:pPr>
              <w:spacing w:before="60" w:line="210" w:lineRule="auto"/>
              <w:ind w:left="184"/>
              <w:rPr>
                <w:rFonts w:hint="eastAsia" w:ascii="仿宋_GB2312" w:hAnsi="仿宋_GB2312" w:eastAsia="仿宋_GB2312" w:cs="仿宋_GB2312"/>
                <w:sz w:val="31"/>
                <w:szCs w:val="31"/>
              </w:rPr>
            </w:pPr>
            <w:r>
              <w:rPr>
                <w:rFonts w:hint="eastAsia" w:ascii="仿宋_GB2312" w:hAnsi="仿宋_GB2312" w:eastAsia="仿宋_GB2312" w:cs="仿宋_GB2312"/>
                <w:spacing w:val="-16"/>
                <w:sz w:val="31"/>
                <w:szCs w:val="31"/>
              </w:rPr>
              <w:t>电话</w:t>
            </w:r>
          </w:p>
        </w:tc>
        <w:tc>
          <w:tcPr>
            <w:tcW w:w="1048" w:type="dxa"/>
            <w:vAlign w:val="top"/>
          </w:tcPr>
          <w:p w14:paraId="4B867C55">
            <w:pPr>
              <w:spacing w:before="299" w:line="220" w:lineRule="auto"/>
              <w:ind w:left="226"/>
              <w:rPr>
                <w:rFonts w:hint="eastAsia" w:ascii="仿宋_GB2312" w:hAnsi="仿宋_GB2312" w:eastAsia="仿宋_GB2312" w:cs="仿宋_GB2312"/>
                <w:sz w:val="31"/>
                <w:szCs w:val="31"/>
              </w:rPr>
            </w:pPr>
            <w:r>
              <w:rPr>
                <w:rFonts w:hint="eastAsia" w:ascii="仿宋_GB2312" w:hAnsi="仿宋_GB2312" w:eastAsia="仿宋_GB2312" w:cs="仿宋_GB2312"/>
                <w:spacing w:val="-4"/>
                <w:sz w:val="31"/>
                <w:szCs w:val="31"/>
              </w:rPr>
              <w:t>手机</w:t>
            </w:r>
          </w:p>
        </w:tc>
      </w:tr>
      <w:tr w14:paraId="13E7B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596" w:type="dxa"/>
            <w:vAlign w:val="top"/>
          </w:tcPr>
          <w:p w14:paraId="05B79D00">
            <w:pPr>
              <w:pStyle w:val="8"/>
            </w:pPr>
          </w:p>
        </w:tc>
        <w:tc>
          <w:tcPr>
            <w:tcW w:w="1184" w:type="dxa"/>
            <w:vAlign w:val="top"/>
          </w:tcPr>
          <w:p w14:paraId="086DA25F">
            <w:pPr>
              <w:pStyle w:val="8"/>
            </w:pPr>
          </w:p>
        </w:tc>
        <w:tc>
          <w:tcPr>
            <w:tcW w:w="1043" w:type="dxa"/>
            <w:vAlign w:val="top"/>
          </w:tcPr>
          <w:p w14:paraId="232044B4">
            <w:pPr>
              <w:pStyle w:val="8"/>
            </w:pPr>
          </w:p>
        </w:tc>
        <w:tc>
          <w:tcPr>
            <w:tcW w:w="946" w:type="dxa"/>
            <w:vAlign w:val="top"/>
          </w:tcPr>
          <w:p w14:paraId="2824ABC9">
            <w:pPr>
              <w:pStyle w:val="8"/>
            </w:pPr>
          </w:p>
        </w:tc>
        <w:tc>
          <w:tcPr>
            <w:tcW w:w="989" w:type="dxa"/>
            <w:vAlign w:val="top"/>
          </w:tcPr>
          <w:p w14:paraId="6D0D6C0F">
            <w:pPr>
              <w:pStyle w:val="8"/>
            </w:pPr>
          </w:p>
        </w:tc>
        <w:tc>
          <w:tcPr>
            <w:tcW w:w="1033" w:type="dxa"/>
            <w:vAlign w:val="top"/>
          </w:tcPr>
          <w:p w14:paraId="1ED2C6B9">
            <w:pPr>
              <w:pStyle w:val="8"/>
            </w:pPr>
          </w:p>
        </w:tc>
        <w:tc>
          <w:tcPr>
            <w:tcW w:w="1287" w:type="dxa"/>
            <w:vAlign w:val="top"/>
          </w:tcPr>
          <w:p w14:paraId="526712A3">
            <w:pPr>
              <w:pStyle w:val="8"/>
            </w:pPr>
          </w:p>
        </w:tc>
        <w:tc>
          <w:tcPr>
            <w:tcW w:w="1043" w:type="dxa"/>
            <w:vAlign w:val="top"/>
          </w:tcPr>
          <w:p w14:paraId="7BB58F8E">
            <w:pPr>
              <w:pStyle w:val="8"/>
            </w:pPr>
          </w:p>
        </w:tc>
        <w:tc>
          <w:tcPr>
            <w:tcW w:w="1064" w:type="dxa"/>
            <w:vAlign w:val="top"/>
          </w:tcPr>
          <w:p w14:paraId="5E7A70FF">
            <w:pPr>
              <w:pStyle w:val="8"/>
            </w:pPr>
          </w:p>
        </w:tc>
        <w:tc>
          <w:tcPr>
            <w:tcW w:w="972" w:type="dxa"/>
            <w:vAlign w:val="top"/>
          </w:tcPr>
          <w:p w14:paraId="729F1845">
            <w:pPr>
              <w:pStyle w:val="8"/>
            </w:pPr>
          </w:p>
        </w:tc>
        <w:tc>
          <w:tcPr>
            <w:tcW w:w="913" w:type="dxa"/>
            <w:vAlign w:val="top"/>
          </w:tcPr>
          <w:p w14:paraId="0181CA7A">
            <w:pPr>
              <w:pStyle w:val="8"/>
            </w:pPr>
          </w:p>
        </w:tc>
        <w:tc>
          <w:tcPr>
            <w:tcW w:w="1048" w:type="dxa"/>
            <w:vAlign w:val="top"/>
          </w:tcPr>
          <w:p w14:paraId="22F95A65">
            <w:pPr>
              <w:pStyle w:val="8"/>
            </w:pPr>
          </w:p>
        </w:tc>
      </w:tr>
      <w:tr w14:paraId="1B89D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596" w:type="dxa"/>
            <w:vAlign w:val="top"/>
          </w:tcPr>
          <w:p w14:paraId="44EF8B1A">
            <w:pPr>
              <w:pStyle w:val="8"/>
            </w:pPr>
          </w:p>
        </w:tc>
        <w:tc>
          <w:tcPr>
            <w:tcW w:w="1184" w:type="dxa"/>
            <w:vAlign w:val="top"/>
          </w:tcPr>
          <w:p w14:paraId="7D806B1E">
            <w:pPr>
              <w:pStyle w:val="8"/>
            </w:pPr>
          </w:p>
        </w:tc>
        <w:tc>
          <w:tcPr>
            <w:tcW w:w="1043" w:type="dxa"/>
            <w:vAlign w:val="top"/>
          </w:tcPr>
          <w:p w14:paraId="202EB24F">
            <w:pPr>
              <w:pStyle w:val="8"/>
            </w:pPr>
          </w:p>
        </w:tc>
        <w:tc>
          <w:tcPr>
            <w:tcW w:w="946" w:type="dxa"/>
            <w:vAlign w:val="top"/>
          </w:tcPr>
          <w:p w14:paraId="2BD96B3A">
            <w:pPr>
              <w:pStyle w:val="8"/>
            </w:pPr>
          </w:p>
        </w:tc>
        <w:tc>
          <w:tcPr>
            <w:tcW w:w="989" w:type="dxa"/>
            <w:vAlign w:val="top"/>
          </w:tcPr>
          <w:p w14:paraId="1DF7BBCD">
            <w:pPr>
              <w:pStyle w:val="8"/>
            </w:pPr>
          </w:p>
        </w:tc>
        <w:tc>
          <w:tcPr>
            <w:tcW w:w="1033" w:type="dxa"/>
            <w:vAlign w:val="top"/>
          </w:tcPr>
          <w:p w14:paraId="789B274F">
            <w:pPr>
              <w:pStyle w:val="8"/>
            </w:pPr>
          </w:p>
        </w:tc>
        <w:tc>
          <w:tcPr>
            <w:tcW w:w="1287" w:type="dxa"/>
            <w:vAlign w:val="top"/>
          </w:tcPr>
          <w:p w14:paraId="564A771F">
            <w:pPr>
              <w:pStyle w:val="8"/>
            </w:pPr>
          </w:p>
        </w:tc>
        <w:tc>
          <w:tcPr>
            <w:tcW w:w="1043" w:type="dxa"/>
            <w:vAlign w:val="top"/>
          </w:tcPr>
          <w:p w14:paraId="28CEC73A">
            <w:pPr>
              <w:pStyle w:val="8"/>
            </w:pPr>
          </w:p>
        </w:tc>
        <w:tc>
          <w:tcPr>
            <w:tcW w:w="1064" w:type="dxa"/>
            <w:vAlign w:val="top"/>
          </w:tcPr>
          <w:p w14:paraId="503503F0">
            <w:pPr>
              <w:pStyle w:val="8"/>
            </w:pPr>
          </w:p>
        </w:tc>
        <w:tc>
          <w:tcPr>
            <w:tcW w:w="972" w:type="dxa"/>
            <w:vAlign w:val="top"/>
          </w:tcPr>
          <w:p w14:paraId="375B4373">
            <w:pPr>
              <w:pStyle w:val="8"/>
            </w:pPr>
          </w:p>
        </w:tc>
        <w:tc>
          <w:tcPr>
            <w:tcW w:w="913" w:type="dxa"/>
            <w:vAlign w:val="top"/>
          </w:tcPr>
          <w:p w14:paraId="464483E1">
            <w:pPr>
              <w:pStyle w:val="8"/>
            </w:pPr>
          </w:p>
        </w:tc>
        <w:tc>
          <w:tcPr>
            <w:tcW w:w="1048" w:type="dxa"/>
            <w:vAlign w:val="top"/>
          </w:tcPr>
          <w:p w14:paraId="67B680A3">
            <w:pPr>
              <w:pStyle w:val="8"/>
            </w:pPr>
          </w:p>
        </w:tc>
      </w:tr>
      <w:tr w14:paraId="38AEE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596" w:type="dxa"/>
            <w:vAlign w:val="top"/>
          </w:tcPr>
          <w:p w14:paraId="2E3C4333">
            <w:pPr>
              <w:pStyle w:val="8"/>
            </w:pPr>
          </w:p>
        </w:tc>
        <w:tc>
          <w:tcPr>
            <w:tcW w:w="1184" w:type="dxa"/>
            <w:vAlign w:val="top"/>
          </w:tcPr>
          <w:p w14:paraId="5C8919A1">
            <w:pPr>
              <w:pStyle w:val="8"/>
            </w:pPr>
          </w:p>
        </w:tc>
        <w:tc>
          <w:tcPr>
            <w:tcW w:w="1043" w:type="dxa"/>
            <w:vAlign w:val="top"/>
          </w:tcPr>
          <w:p w14:paraId="3EF14ED0">
            <w:pPr>
              <w:pStyle w:val="8"/>
            </w:pPr>
          </w:p>
        </w:tc>
        <w:tc>
          <w:tcPr>
            <w:tcW w:w="946" w:type="dxa"/>
            <w:vAlign w:val="top"/>
          </w:tcPr>
          <w:p w14:paraId="4209F0F7">
            <w:pPr>
              <w:pStyle w:val="8"/>
            </w:pPr>
          </w:p>
        </w:tc>
        <w:tc>
          <w:tcPr>
            <w:tcW w:w="989" w:type="dxa"/>
            <w:vAlign w:val="top"/>
          </w:tcPr>
          <w:p w14:paraId="5FFF1773">
            <w:pPr>
              <w:pStyle w:val="8"/>
            </w:pPr>
          </w:p>
        </w:tc>
        <w:tc>
          <w:tcPr>
            <w:tcW w:w="1033" w:type="dxa"/>
            <w:vAlign w:val="top"/>
          </w:tcPr>
          <w:p w14:paraId="16E11B2F">
            <w:pPr>
              <w:pStyle w:val="8"/>
            </w:pPr>
          </w:p>
        </w:tc>
        <w:tc>
          <w:tcPr>
            <w:tcW w:w="1287" w:type="dxa"/>
            <w:vAlign w:val="top"/>
          </w:tcPr>
          <w:p w14:paraId="745D6DC5">
            <w:pPr>
              <w:pStyle w:val="8"/>
            </w:pPr>
          </w:p>
        </w:tc>
        <w:tc>
          <w:tcPr>
            <w:tcW w:w="1043" w:type="dxa"/>
            <w:vAlign w:val="top"/>
          </w:tcPr>
          <w:p w14:paraId="70B0529A">
            <w:pPr>
              <w:pStyle w:val="8"/>
            </w:pPr>
          </w:p>
        </w:tc>
        <w:tc>
          <w:tcPr>
            <w:tcW w:w="1064" w:type="dxa"/>
            <w:vAlign w:val="top"/>
          </w:tcPr>
          <w:p w14:paraId="37A4D9E3">
            <w:pPr>
              <w:pStyle w:val="8"/>
            </w:pPr>
          </w:p>
        </w:tc>
        <w:tc>
          <w:tcPr>
            <w:tcW w:w="972" w:type="dxa"/>
            <w:vAlign w:val="top"/>
          </w:tcPr>
          <w:p w14:paraId="7C7B318D">
            <w:pPr>
              <w:pStyle w:val="8"/>
            </w:pPr>
          </w:p>
        </w:tc>
        <w:tc>
          <w:tcPr>
            <w:tcW w:w="913" w:type="dxa"/>
            <w:vAlign w:val="top"/>
          </w:tcPr>
          <w:p w14:paraId="1A25EA8B">
            <w:pPr>
              <w:pStyle w:val="8"/>
            </w:pPr>
          </w:p>
        </w:tc>
        <w:tc>
          <w:tcPr>
            <w:tcW w:w="1048" w:type="dxa"/>
            <w:vAlign w:val="top"/>
          </w:tcPr>
          <w:p w14:paraId="0DED6876">
            <w:pPr>
              <w:pStyle w:val="8"/>
            </w:pPr>
          </w:p>
        </w:tc>
      </w:tr>
      <w:tr w14:paraId="2942A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596" w:type="dxa"/>
            <w:vAlign w:val="top"/>
          </w:tcPr>
          <w:p w14:paraId="68B0B82F">
            <w:pPr>
              <w:pStyle w:val="8"/>
            </w:pPr>
          </w:p>
        </w:tc>
        <w:tc>
          <w:tcPr>
            <w:tcW w:w="1184" w:type="dxa"/>
            <w:vAlign w:val="top"/>
          </w:tcPr>
          <w:p w14:paraId="4C0C99B3">
            <w:pPr>
              <w:pStyle w:val="8"/>
            </w:pPr>
          </w:p>
        </w:tc>
        <w:tc>
          <w:tcPr>
            <w:tcW w:w="1043" w:type="dxa"/>
            <w:vAlign w:val="top"/>
          </w:tcPr>
          <w:p w14:paraId="6CC7F19E">
            <w:pPr>
              <w:pStyle w:val="8"/>
            </w:pPr>
          </w:p>
        </w:tc>
        <w:tc>
          <w:tcPr>
            <w:tcW w:w="946" w:type="dxa"/>
            <w:vAlign w:val="top"/>
          </w:tcPr>
          <w:p w14:paraId="21240A8E">
            <w:pPr>
              <w:pStyle w:val="8"/>
            </w:pPr>
          </w:p>
        </w:tc>
        <w:tc>
          <w:tcPr>
            <w:tcW w:w="989" w:type="dxa"/>
            <w:vAlign w:val="top"/>
          </w:tcPr>
          <w:p w14:paraId="68FEC7CD">
            <w:pPr>
              <w:pStyle w:val="8"/>
            </w:pPr>
          </w:p>
        </w:tc>
        <w:tc>
          <w:tcPr>
            <w:tcW w:w="1033" w:type="dxa"/>
            <w:vAlign w:val="top"/>
          </w:tcPr>
          <w:p w14:paraId="57AC5E59">
            <w:pPr>
              <w:pStyle w:val="8"/>
            </w:pPr>
          </w:p>
        </w:tc>
        <w:tc>
          <w:tcPr>
            <w:tcW w:w="1287" w:type="dxa"/>
            <w:vAlign w:val="top"/>
          </w:tcPr>
          <w:p w14:paraId="76DE9630">
            <w:pPr>
              <w:pStyle w:val="8"/>
            </w:pPr>
          </w:p>
        </w:tc>
        <w:tc>
          <w:tcPr>
            <w:tcW w:w="1043" w:type="dxa"/>
            <w:vAlign w:val="top"/>
          </w:tcPr>
          <w:p w14:paraId="016136FC">
            <w:pPr>
              <w:pStyle w:val="8"/>
            </w:pPr>
          </w:p>
        </w:tc>
        <w:tc>
          <w:tcPr>
            <w:tcW w:w="1064" w:type="dxa"/>
            <w:vAlign w:val="top"/>
          </w:tcPr>
          <w:p w14:paraId="557831B5">
            <w:pPr>
              <w:pStyle w:val="8"/>
            </w:pPr>
          </w:p>
        </w:tc>
        <w:tc>
          <w:tcPr>
            <w:tcW w:w="972" w:type="dxa"/>
            <w:vAlign w:val="top"/>
          </w:tcPr>
          <w:p w14:paraId="70CC49D6">
            <w:pPr>
              <w:pStyle w:val="8"/>
            </w:pPr>
          </w:p>
        </w:tc>
        <w:tc>
          <w:tcPr>
            <w:tcW w:w="913" w:type="dxa"/>
            <w:vAlign w:val="top"/>
          </w:tcPr>
          <w:p w14:paraId="4692A343">
            <w:pPr>
              <w:pStyle w:val="8"/>
            </w:pPr>
          </w:p>
        </w:tc>
        <w:tc>
          <w:tcPr>
            <w:tcW w:w="1048" w:type="dxa"/>
            <w:vAlign w:val="top"/>
          </w:tcPr>
          <w:p w14:paraId="7AE12E86">
            <w:pPr>
              <w:pStyle w:val="8"/>
            </w:pPr>
          </w:p>
        </w:tc>
      </w:tr>
    </w:tbl>
    <w:p w14:paraId="1FBCC3EA">
      <w:pPr>
        <w:rPr>
          <w:rFonts w:ascii="Arial"/>
          <w:sz w:val="21"/>
        </w:rPr>
      </w:pPr>
    </w:p>
    <w:p w14:paraId="635A4576">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pacing w:val="3"/>
          <w:sz w:val="32"/>
          <w:szCs w:val="32"/>
        </w:rPr>
      </w:pPr>
    </w:p>
    <w:sectPr>
      <w:pgSz w:w="16839" w:h="11906"/>
      <w:pgMar w:top="1012" w:right="1914" w:bottom="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FangSong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B93D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A7949">
    <w:pPr>
      <w:tabs>
        <w:tab w:val="left" w:pos="4663"/>
      </w:tabs>
      <w:spacing w:line="215" w:lineRule="auto"/>
      <w:ind w:left="4296"/>
      <w:rPr>
        <w:rFonts w:ascii="微软雅黑" w:hAnsi="微软雅黑" w:eastAsia="微软雅黑" w:cs="微软雅黑"/>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0E85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00E85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C6AD9">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6E2A25"/>
    <w:rsid w:val="055C1551"/>
    <w:rsid w:val="15551D46"/>
    <w:rsid w:val="1ABD3EC7"/>
    <w:rsid w:val="20C13158"/>
    <w:rsid w:val="20FD531A"/>
    <w:rsid w:val="23676C8A"/>
    <w:rsid w:val="297939AC"/>
    <w:rsid w:val="2C090435"/>
    <w:rsid w:val="3A4B416D"/>
    <w:rsid w:val="3EB81B80"/>
    <w:rsid w:val="45B95404"/>
    <w:rsid w:val="4819662E"/>
    <w:rsid w:val="48A91760"/>
    <w:rsid w:val="4B4439C2"/>
    <w:rsid w:val="4C4C6FD2"/>
    <w:rsid w:val="4FC6709B"/>
    <w:rsid w:val="50210776"/>
    <w:rsid w:val="56C90818"/>
    <w:rsid w:val="5DC55B33"/>
    <w:rsid w:val="5EFC1A9B"/>
    <w:rsid w:val="5FE81458"/>
    <w:rsid w:val="63A30A91"/>
    <w:rsid w:val="64CA13C9"/>
    <w:rsid w:val="6D21101C"/>
    <w:rsid w:val="6F244C95"/>
    <w:rsid w:val="7F6072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5301</Words>
  <Characters>5428</Characters>
  <TotalTime>0</TotalTime>
  <ScaleCrop>false</ScaleCrop>
  <LinksUpToDate>false</LinksUpToDate>
  <CharactersWithSpaces>5560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2025-06-19T16:44:00Z</dcterms:created>
  <dc:creator>ZJQ</dc:creator>
  <cp:lastModifiedBy>陈茂乔</cp:lastModifiedBy>
  <dcterms:modified xsi:type="dcterms:W3CDTF">2025-07-15T07:19:16Z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2025-06-20T08:37:15Z</vt:filetime>
  </property>
  <property fmtid="{D5CDD505-2E9C-101B-9397-08002B2CF9AE}" pid="4" name="KSOTemplateDocerSaveRecord">
    <vt:lpwstr>eyJoZGlkIjoiODcxZjk0MTdjNjM2NTU4NmVhMWM2OTMwNjgzNGJhMzYiLCJ1c2VySWQiOiIzMDU3MjYzMzgifQ==</vt:lpwstr>
  </property>
  <property fmtid="{D5CDD505-2E9C-101B-9397-08002B2CF9AE}" pid="5" name="KSOProductBuildVer">
    <vt:lpwstr>2052-12.1.0.21915</vt:lpwstr>
  </property>
  <property fmtid="{D5CDD505-2E9C-101B-9397-08002B2CF9AE}" pid="6" name="ICV">
    <vt:lpwstr>DB10EB447ED84401B293AEE93AA55F8D_12</vt:lpwstr>
  </property>
</Properties>
</file>